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33" w:rsidRPr="00A30415" w:rsidRDefault="00A30415">
      <w:pPr>
        <w:rPr>
          <w:rFonts w:ascii="Verdana" w:hAnsi="Verdana"/>
          <w:b/>
          <w:sz w:val="24"/>
          <w:szCs w:val="24"/>
        </w:rPr>
      </w:pPr>
      <w:r w:rsidRPr="00A30415">
        <w:rPr>
          <w:rFonts w:ascii="Verdana" w:hAnsi="Verdana"/>
          <w:b/>
          <w:noProof/>
          <w:sz w:val="24"/>
          <w:szCs w:val="24"/>
          <w:lang w:eastAsia="en-GB"/>
        </w:rPr>
        <w:drawing>
          <wp:anchor distT="0" distB="0" distL="114300" distR="114300" simplePos="0" relativeHeight="251658240" behindDoc="0" locked="0" layoutInCell="1" allowOverlap="1" wp14:anchorId="376A096B" wp14:editId="79F80FF4">
            <wp:simplePos x="0" y="0"/>
            <wp:positionH relativeFrom="column">
              <wp:posOffset>4562475</wp:posOffset>
            </wp:positionH>
            <wp:positionV relativeFrom="paragraph">
              <wp:posOffset>-243840</wp:posOffset>
            </wp:positionV>
            <wp:extent cx="1238250" cy="1332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Eastern_Col.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332230"/>
                    </a:xfrm>
                    <a:prstGeom prst="rect">
                      <a:avLst/>
                    </a:prstGeom>
                  </pic:spPr>
                </pic:pic>
              </a:graphicData>
            </a:graphic>
            <wp14:sizeRelH relativeFrom="page">
              <wp14:pctWidth>0</wp14:pctWidth>
            </wp14:sizeRelH>
            <wp14:sizeRelV relativeFrom="page">
              <wp14:pctHeight>0</wp14:pctHeight>
            </wp14:sizeRelV>
          </wp:anchor>
        </w:drawing>
      </w:r>
      <w:r w:rsidRPr="00A30415">
        <w:rPr>
          <w:rFonts w:ascii="Verdana" w:hAnsi="Verdana"/>
          <w:b/>
          <w:sz w:val="24"/>
          <w:szCs w:val="24"/>
        </w:rPr>
        <w:t>Eastern IFCA Whelk Management Measures</w:t>
      </w:r>
    </w:p>
    <w:p w:rsidR="00A30415" w:rsidRPr="00A30415" w:rsidRDefault="00A30415" w:rsidP="00A30415">
      <w:pPr>
        <w:jc w:val="both"/>
        <w:rPr>
          <w:rFonts w:ascii="Verdana" w:hAnsi="Verdana"/>
          <w:sz w:val="24"/>
          <w:szCs w:val="24"/>
          <w:u w:val="single"/>
        </w:rPr>
      </w:pPr>
      <w:r w:rsidRPr="00A30415">
        <w:rPr>
          <w:rFonts w:ascii="Verdana" w:hAnsi="Verdana"/>
          <w:sz w:val="24"/>
          <w:szCs w:val="24"/>
          <w:u w:val="single"/>
        </w:rPr>
        <w:t>Information for stakeholders</w:t>
      </w:r>
    </w:p>
    <w:p w:rsidR="00A30415" w:rsidRDefault="00A30415" w:rsidP="00A30415">
      <w:pPr>
        <w:jc w:val="both"/>
        <w:rPr>
          <w:rFonts w:ascii="Verdana" w:hAnsi="Verdana"/>
        </w:rPr>
      </w:pPr>
      <w:r>
        <w:rPr>
          <w:rFonts w:ascii="Verdana" w:hAnsi="Verdana"/>
        </w:rPr>
        <w:t xml:space="preserve">Eastern IFCA has launched formal consultation for two byelaws proposed for the protection of whelk </w:t>
      </w:r>
      <w:r w:rsidR="00392027">
        <w:rPr>
          <w:rFonts w:ascii="Verdana" w:hAnsi="Verdana"/>
        </w:rPr>
        <w:t>fisheries</w:t>
      </w:r>
      <w:r>
        <w:rPr>
          <w:rFonts w:ascii="Verdana" w:hAnsi="Verdana"/>
        </w:rPr>
        <w:t xml:space="preserve"> within the district.</w:t>
      </w:r>
    </w:p>
    <w:p w:rsidR="00A30415" w:rsidRPr="00A30415" w:rsidRDefault="00A30415" w:rsidP="00A30415">
      <w:pPr>
        <w:spacing w:after="0"/>
        <w:jc w:val="both"/>
        <w:rPr>
          <w:rFonts w:ascii="Verdana" w:hAnsi="Verdana"/>
          <w:u w:val="single"/>
        </w:rPr>
      </w:pPr>
      <w:r>
        <w:rPr>
          <w:rFonts w:ascii="Verdana" w:hAnsi="Verdana"/>
        </w:rPr>
        <w:t xml:space="preserve">The deadline for your feedback is the </w:t>
      </w:r>
      <w:r w:rsidRPr="00F45340">
        <w:rPr>
          <w:rFonts w:ascii="Verdana" w:hAnsi="Verdana"/>
          <w:b/>
        </w:rPr>
        <w:t>4</w:t>
      </w:r>
      <w:r w:rsidRPr="00F45340">
        <w:rPr>
          <w:rFonts w:ascii="Verdana" w:hAnsi="Verdana"/>
          <w:b/>
          <w:vertAlign w:val="superscript"/>
        </w:rPr>
        <w:t>th</w:t>
      </w:r>
      <w:r w:rsidRPr="00F45340">
        <w:rPr>
          <w:rFonts w:ascii="Verdana" w:hAnsi="Verdana"/>
          <w:b/>
        </w:rPr>
        <w:t xml:space="preserve"> January 2016</w:t>
      </w:r>
      <w:r>
        <w:rPr>
          <w:rFonts w:ascii="Verdana" w:hAnsi="Verdana"/>
        </w:rPr>
        <w:t xml:space="preserve"> – these should be written responses in the form of a letter or by completing a questionnaire (which can be found by clicking </w:t>
      </w:r>
      <w:hyperlink r:id="rId7" w:history="1">
        <w:r w:rsidRPr="00633A12">
          <w:rPr>
            <w:rStyle w:val="Hyperlink"/>
            <w:rFonts w:ascii="Verdana" w:hAnsi="Verdana"/>
            <w:b/>
          </w:rPr>
          <w:t>here</w:t>
        </w:r>
      </w:hyperlink>
      <w:r>
        <w:rPr>
          <w:rFonts w:ascii="Verdana" w:hAnsi="Verdana"/>
        </w:rPr>
        <w:t xml:space="preserve">) </w:t>
      </w:r>
      <w:r w:rsidR="00F45340">
        <w:rPr>
          <w:rFonts w:ascii="Verdana" w:hAnsi="Verdana"/>
        </w:rPr>
        <w:t xml:space="preserve">sent </w:t>
      </w:r>
      <w:r>
        <w:rPr>
          <w:rFonts w:ascii="Verdana" w:hAnsi="Verdana"/>
        </w:rPr>
        <w:t>either</w:t>
      </w:r>
      <w:r w:rsidR="00F45340">
        <w:rPr>
          <w:rFonts w:ascii="Verdana" w:hAnsi="Verdana"/>
        </w:rPr>
        <w:t xml:space="preserve"> by post or via email to the addresses below</w:t>
      </w:r>
      <w:r>
        <w:rPr>
          <w:rFonts w:ascii="Verdana" w:hAnsi="Verdana"/>
        </w:rPr>
        <w:t>:</w:t>
      </w:r>
      <w:r w:rsidRPr="00A30415">
        <w:rPr>
          <w:rFonts w:ascii="Verdana" w:hAnsi="Verdana"/>
          <w:noProof/>
          <w:u w:val="single"/>
          <w:lang w:eastAsia="en-GB"/>
        </w:rPr>
        <w:t xml:space="preserve"> </w:t>
      </w:r>
    </w:p>
    <w:p w:rsidR="00A30415" w:rsidRDefault="00A30415" w:rsidP="00A30415">
      <w:pPr>
        <w:jc w:val="both"/>
        <w:rPr>
          <w:rFonts w:ascii="Verdana" w:hAnsi="Verdana"/>
        </w:rPr>
      </w:pPr>
      <w:r w:rsidRPr="00A30415">
        <w:rPr>
          <w:rFonts w:ascii="Verdana" w:hAnsi="Verdana"/>
          <w:noProof/>
          <w:u w:val="single"/>
          <w:lang w:eastAsia="en-GB"/>
        </w:rPr>
        <mc:AlternateContent>
          <mc:Choice Requires="wps">
            <w:drawing>
              <wp:anchor distT="0" distB="0" distL="114300" distR="114300" simplePos="0" relativeHeight="251662336" behindDoc="0" locked="0" layoutInCell="1" allowOverlap="1" wp14:anchorId="04E355B7" wp14:editId="205C07C7">
                <wp:simplePos x="0" y="0"/>
                <wp:positionH relativeFrom="column">
                  <wp:posOffset>2705100</wp:posOffset>
                </wp:positionH>
                <wp:positionV relativeFrom="paragraph">
                  <wp:posOffset>130175</wp:posOffset>
                </wp:positionV>
                <wp:extent cx="2981325"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85900"/>
                        </a:xfrm>
                        <a:prstGeom prst="rect">
                          <a:avLst/>
                        </a:prstGeom>
                        <a:noFill/>
                        <a:ln w="9525">
                          <a:noFill/>
                          <a:miter lim="800000"/>
                          <a:headEnd/>
                          <a:tailEnd/>
                        </a:ln>
                      </wps:spPr>
                      <wps:txbx>
                        <w:txbxContent>
                          <w:p w:rsidR="00A30415" w:rsidRDefault="00A30415" w:rsidP="003F4BDC">
                            <w:pPr>
                              <w:spacing w:after="0"/>
                              <w:jc w:val="both"/>
                              <w:rPr>
                                <w:rFonts w:ascii="Verdana" w:hAnsi="Verdana"/>
                              </w:rPr>
                            </w:pPr>
                            <w:r>
                              <w:rPr>
                                <w:rFonts w:ascii="Verdana" w:hAnsi="Verdana"/>
                                <w:u w:val="single"/>
                              </w:rPr>
                              <w:t>Email</w:t>
                            </w:r>
                            <w:r>
                              <w:rPr>
                                <w:rFonts w:ascii="Verdana" w:hAnsi="Verdana"/>
                              </w:rPr>
                              <w:t xml:space="preserve">: </w:t>
                            </w:r>
                            <w:hyperlink r:id="rId8" w:history="1">
                              <w:r w:rsidRPr="000D18CE">
                                <w:rPr>
                                  <w:rStyle w:val="Hyperlink"/>
                                  <w:rFonts w:ascii="Verdana" w:hAnsi="Verdana"/>
                                </w:rPr>
                                <w:t>mail@eastern-ifca.gcsx.gov.uk</w:t>
                              </w:r>
                            </w:hyperlink>
                          </w:p>
                          <w:p w:rsidR="00A30415" w:rsidRDefault="00A30415" w:rsidP="003F4BDC">
                            <w:pPr>
                              <w:spacing w:after="0"/>
                              <w:jc w:val="both"/>
                              <w:rPr>
                                <w:rFonts w:ascii="Verdana" w:hAnsi="Verdana"/>
                              </w:rPr>
                            </w:pPr>
                          </w:p>
                          <w:p w:rsidR="00A30415" w:rsidRPr="00A30415" w:rsidRDefault="00A30415" w:rsidP="003F4BDC">
                            <w:pPr>
                              <w:spacing w:after="0"/>
                              <w:jc w:val="both"/>
                              <w:rPr>
                                <w:rFonts w:ascii="Verdana" w:hAnsi="Verdana"/>
                                <w:b/>
                              </w:rPr>
                            </w:pPr>
                            <w:r w:rsidRPr="00A30415">
                              <w:rPr>
                                <w:rFonts w:ascii="Verdana" w:hAnsi="Verdana"/>
                                <w:b/>
                              </w:rPr>
                              <w:t>If you have any questions</w:t>
                            </w:r>
                            <w:r>
                              <w:rPr>
                                <w:rFonts w:ascii="Verdana" w:hAnsi="Verdana"/>
                                <w:b/>
                              </w:rPr>
                              <w:t xml:space="preserve"> regarding the byelaws or the formal </w:t>
                            </w:r>
                            <w:r w:rsidR="00392027">
                              <w:rPr>
                                <w:rFonts w:ascii="Verdana" w:hAnsi="Verdana"/>
                                <w:b/>
                              </w:rPr>
                              <w:t xml:space="preserve">consultation </w:t>
                            </w:r>
                            <w:r w:rsidR="00392027" w:rsidRPr="00A30415">
                              <w:rPr>
                                <w:rFonts w:ascii="Verdana" w:hAnsi="Verdana"/>
                                <w:b/>
                              </w:rPr>
                              <w:t>please</w:t>
                            </w:r>
                            <w:r w:rsidRPr="00A30415">
                              <w:rPr>
                                <w:rFonts w:ascii="Verdana" w:hAnsi="Verdana"/>
                                <w:b/>
                              </w:rPr>
                              <w:t xml:space="preserve"> feel free to contact the office on:</w:t>
                            </w:r>
                          </w:p>
                          <w:p w:rsidR="00A30415" w:rsidRDefault="00A30415" w:rsidP="003F4BDC">
                            <w:pPr>
                              <w:spacing w:after="0"/>
                              <w:jc w:val="both"/>
                              <w:rPr>
                                <w:rFonts w:ascii="Verdana" w:hAnsi="Verdana"/>
                              </w:rPr>
                            </w:pPr>
                            <w:r>
                              <w:rPr>
                                <w:rFonts w:ascii="Verdana" w:hAnsi="Verdana"/>
                                <w:u w:val="single"/>
                              </w:rPr>
                              <w:t>Tel</w:t>
                            </w:r>
                            <w:r>
                              <w:rPr>
                                <w:rFonts w:ascii="Verdana" w:hAnsi="Verdana"/>
                              </w:rPr>
                              <w:t>: 01553 775321</w:t>
                            </w:r>
                          </w:p>
                          <w:p w:rsidR="00A30415" w:rsidRPr="00A30415" w:rsidRDefault="00A30415" w:rsidP="00A30415">
                            <w:pPr>
                              <w:spacing w:after="0"/>
                              <w:rPr>
                                <w:rFonts w:ascii="Verdana" w:hAnsi="Verdana"/>
                              </w:rPr>
                            </w:pPr>
                          </w:p>
                          <w:p w:rsidR="00A30415" w:rsidRDefault="00A30415" w:rsidP="00A30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10.25pt;width:234.7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" filled="f" stroked="f">
                <v:textbox>
                  <w:txbxContent>
                    <w:p w:rsidR="00A30415" w:rsidRDefault="00A30415" w:rsidP="003F4BDC">
                      <w:pPr>
                        <w:spacing w:after="0"/>
                        <w:jc w:val="both"/>
                        <w:rPr>
                          <w:rFonts w:ascii="Verdana" w:hAnsi="Verdana"/>
                        </w:rPr>
                      </w:pPr>
                      <w:r>
                        <w:rPr>
                          <w:rFonts w:ascii="Verdana" w:hAnsi="Verdana"/>
                          <w:u w:val="single"/>
                        </w:rPr>
                        <w:t>Email</w:t>
                      </w:r>
                      <w:r>
                        <w:rPr>
                          <w:rFonts w:ascii="Verdana" w:hAnsi="Verdana"/>
                        </w:rPr>
                        <w:t xml:space="preserve">: </w:t>
                      </w:r>
                      <w:hyperlink r:id="rId9" w:history="1">
                        <w:r w:rsidRPr="000D18CE">
                          <w:rPr>
                            <w:rStyle w:val="Hyperlink"/>
                            <w:rFonts w:ascii="Verdana" w:hAnsi="Verdana"/>
                          </w:rPr>
                          <w:t>mail@eastern-ifca.gcsx.gov.uk</w:t>
                        </w:r>
                      </w:hyperlink>
                    </w:p>
                    <w:p w:rsidR="00A30415" w:rsidRDefault="00A30415" w:rsidP="003F4BDC">
                      <w:pPr>
                        <w:spacing w:after="0"/>
                        <w:jc w:val="both"/>
                        <w:rPr>
                          <w:rFonts w:ascii="Verdana" w:hAnsi="Verdana"/>
                        </w:rPr>
                      </w:pPr>
                    </w:p>
                    <w:p w:rsidR="00A30415" w:rsidRPr="00A30415" w:rsidRDefault="00A30415" w:rsidP="003F4BDC">
                      <w:pPr>
                        <w:spacing w:after="0"/>
                        <w:jc w:val="both"/>
                        <w:rPr>
                          <w:rFonts w:ascii="Verdana" w:hAnsi="Verdana"/>
                          <w:b/>
                        </w:rPr>
                      </w:pPr>
                      <w:r w:rsidRPr="00A30415">
                        <w:rPr>
                          <w:rFonts w:ascii="Verdana" w:hAnsi="Verdana"/>
                          <w:b/>
                        </w:rPr>
                        <w:t>If you have any questions</w:t>
                      </w:r>
                      <w:r>
                        <w:rPr>
                          <w:rFonts w:ascii="Verdana" w:hAnsi="Verdana"/>
                          <w:b/>
                        </w:rPr>
                        <w:t xml:space="preserve"> regarding the byelaws or the formal </w:t>
                      </w:r>
                      <w:r w:rsidR="00392027">
                        <w:rPr>
                          <w:rFonts w:ascii="Verdana" w:hAnsi="Verdana"/>
                          <w:b/>
                        </w:rPr>
                        <w:t xml:space="preserve">consultation </w:t>
                      </w:r>
                      <w:r w:rsidR="00392027" w:rsidRPr="00A30415">
                        <w:rPr>
                          <w:rFonts w:ascii="Verdana" w:hAnsi="Verdana"/>
                          <w:b/>
                        </w:rPr>
                        <w:t>please</w:t>
                      </w:r>
                      <w:r w:rsidRPr="00A30415">
                        <w:rPr>
                          <w:rFonts w:ascii="Verdana" w:hAnsi="Verdana"/>
                          <w:b/>
                        </w:rPr>
                        <w:t xml:space="preserve"> feel free to contact the office on:</w:t>
                      </w:r>
                    </w:p>
                    <w:p w:rsidR="00A30415" w:rsidRDefault="00A30415" w:rsidP="003F4BDC">
                      <w:pPr>
                        <w:spacing w:after="0"/>
                        <w:jc w:val="both"/>
                        <w:rPr>
                          <w:rFonts w:ascii="Verdana" w:hAnsi="Verdana"/>
                        </w:rPr>
                      </w:pPr>
                      <w:r>
                        <w:rPr>
                          <w:rFonts w:ascii="Verdana" w:hAnsi="Verdana"/>
                          <w:u w:val="single"/>
                        </w:rPr>
                        <w:t>Tel</w:t>
                      </w:r>
                      <w:r>
                        <w:rPr>
                          <w:rFonts w:ascii="Verdana" w:hAnsi="Verdana"/>
                        </w:rPr>
                        <w:t>: 01553 775321</w:t>
                      </w:r>
                    </w:p>
                    <w:p w:rsidR="00A30415" w:rsidRPr="00A30415" w:rsidRDefault="00A30415" w:rsidP="00A30415">
                      <w:pPr>
                        <w:spacing w:after="0"/>
                        <w:rPr>
                          <w:rFonts w:ascii="Verdana" w:hAnsi="Verdana"/>
                        </w:rPr>
                      </w:pPr>
                    </w:p>
                    <w:p w:rsidR="00A30415" w:rsidRDefault="00A30415" w:rsidP="00A30415"/>
                  </w:txbxContent>
                </v:textbox>
              </v:shape>
            </w:pict>
          </mc:Fallback>
        </mc:AlternateContent>
      </w:r>
      <w:r w:rsidRPr="00A30415">
        <w:rPr>
          <w:rFonts w:ascii="Verdana" w:hAnsi="Verdana"/>
          <w:noProof/>
          <w:u w:val="single"/>
          <w:lang w:eastAsia="en-GB"/>
        </w:rPr>
        <mc:AlternateContent>
          <mc:Choice Requires="wps">
            <w:drawing>
              <wp:anchor distT="0" distB="0" distL="114300" distR="114300" simplePos="0" relativeHeight="251660288" behindDoc="0" locked="0" layoutInCell="1" allowOverlap="1" wp14:anchorId="05A31CE9" wp14:editId="5D98D249">
                <wp:simplePos x="0" y="0"/>
                <wp:positionH relativeFrom="column">
                  <wp:posOffset>-114300</wp:posOffset>
                </wp:positionH>
                <wp:positionV relativeFrom="paragraph">
                  <wp:posOffset>130175</wp:posOffset>
                </wp:positionV>
                <wp:extent cx="2374265"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6825"/>
                        </a:xfrm>
                        <a:prstGeom prst="rect">
                          <a:avLst/>
                        </a:prstGeom>
                        <a:noFill/>
                        <a:ln w="9525">
                          <a:noFill/>
                          <a:miter lim="800000"/>
                          <a:headEnd/>
                          <a:tailEnd/>
                        </a:ln>
                      </wps:spPr>
                      <wps:txbx>
                        <w:txbxContent>
                          <w:p w:rsidR="00A30415" w:rsidRDefault="00A30415" w:rsidP="00A30415">
                            <w:pPr>
                              <w:spacing w:after="0"/>
                              <w:rPr>
                                <w:rFonts w:ascii="Verdana" w:hAnsi="Verdana"/>
                              </w:rPr>
                            </w:pPr>
                            <w:r>
                              <w:rPr>
                                <w:rFonts w:ascii="Verdana" w:hAnsi="Verdana"/>
                                <w:u w:val="single"/>
                              </w:rPr>
                              <w:t>Postal a</w:t>
                            </w:r>
                            <w:r w:rsidRPr="00A30415">
                              <w:rPr>
                                <w:rFonts w:ascii="Verdana" w:hAnsi="Verdana"/>
                                <w:u w:val="single"/>
                              </w:rPr>
                              <w:t>ddress</w:t>
                            </w:r>
                          </w:p>
                          <w:p w:rsidR="00A30415" w:rsidRDefault="00A30415" w:rsidP="00A30415">
                            <w:pPr>
                              <w:spacing w:after="0"/>
                              <w:rPr>
                                <w:rFonts w:ascii="Verdana" w:hAnsi="Verdana"/>
                              </w:rPr>
                            </w:pPr>
                            <w:r>
                              <w:rPr>
                                <w:rFonts w:ascii="Verdana" w:hAnsi="Verdana"/>
                              </w:rPr>
                              <w:t>Eastern IFCA</w:t>
                            </w:r>
                          </w:p>
                          <w:p w:rsidR="00A30415" w:rsidRDefault="00A30415" w:rsidP="00A30415">
                            <w:pPr>
                              <w:spacing w:after="0"/>
                              <w:rPr>
                                <w:rFonts w:ascii="Verdana" w:hAnsi="Verdana"/>
                              </w:rPr>
                            </w:pPr>
                            <w:r>
                              <w:rPr>
                                <w:rFonts w:ascii="Verdana" w:hAnsi="Verdana"/>
                              </w:rPr>
                              <w:t xml:space="preserve">6 North Lynn Business </w:t>
                            </w:r>
                            <w:proofErr w:type="gramStart"/>
                            <w:r>
                              <w:rPr>
                                <w:rFonts w:ascii="Verdana" w:hAnsi="Verdana"/>
                              </w:rPr>
                              <w:t>Village</w:t>
                            </w:r>
                            <w:proofErr w:type="gramEnd"/>
                          </w:p>
                          <w:p w:rsidR="00A30415" w:rsidRDefault="00A30415" w:rsidP="00A30415">
                            <w:pPr>
                              <w:spacing w:after="0"/>
                              <w:rPr>
                                <w:rFonts w:ascii="Verdana" w:hAnsi="Verdana"/>
                              </w:rPr>
                            </w:pPr>
                            <w:r>
                              <w:rPr>
                                <w:rFonts w:ascii="Verdana" w:hAnsi="Verdana"/>
                              </w:rPr>
                              <w:t>Bergen Way</w:t>
                            </w:r>
                          </w:p>
                          <w:p w:rsidR="00A30415" w:rsidRDefault="00A30415" w:rsidP="00A30415">
                            <w:pPr>
                              <w:spacing w:after="0"/>
                              <w:rPr>
                                <w:rFonts w:ascii="Verdana" w:hAnsi="Verdana"/>
                              </w:rPr>
                            </w:pPr>
                            <w:r>
                              <w:rPr>
                                <w:rFonts w:ascii="Verdana" w:hAnsi="Verdana"/>
                              </w:rPr>
                              <w:t xml:space="preserve">King’s Lynn </w:t>
                            </w:r>
                          </w:p>
                          <w:p w:rsidR="00A30415" w:rsidRPr="00A30415" w:rsidRDefault="00F45340" w:rsidP="00A30415">
                            <w:pPr>
                              <w:spacing w:after="0"/>
                              <w:rPr>
                                <w:rFonts w:ascii="Verdana" w:hAnsi="Verdana"/>
                              </w:rPr>
                            </w:pPr>
                            <w:r>
                              <w:rPr>
                                <w:rFonts w:ascii="Verdana" w:hAnsi="Verdana"/>
                              </w:rPr>
                              <w:t>PE30 2JG</w:t>
                            </w:r>
                          </w:p>
                          <w:p w:rsidR="00A30415" w:rsidRDefault="00A30415" w:rsidP="00A304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9pt;margin-top:10.25pt;width:186.95pt;height:99.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" filled="f" stroked="f">
                <v:textbox>
                  <w:txbxContent>
                    <w:p w:rsidR="00A30415" w:rsidRDefault="00A30415" w:rsidP="00A30415">
                      <w:pPr>
                        <w:spacing w:after="0"/>
                        <w:rPr>
                          <w:rFonts w:ascii="Verdana" w:hAnsi="Verdana"/>
                        </w:rPr>
                      </w:pPr>
                      <w:r>
                        <w:rPr>
                          <w:rFonts w:ascii="Verdana" w:hAnsi="Verdana"/>
                          <w:u w:val="single"/>
                        </w:rPr>
                        <w:t>Postal a</w:t>
                      </w:r>
                      <w:r w:rsidRPr="00A30415">
                        <w:rPr>
                          <w:rFonts w:ascii="Verdana" w:hAnsi="Verdana"/>
                          <w:u w:val="single"/>
                        </w:rPr>
                        <w:t>ddress</w:t>
                      </w:r>
                    </w:p>
                    <w:p w:rsidR="00A30415" w:rsidRDefault="00A30415" w:rsidP="00A30415">
                      <w:pPr>
                        <w:spacing w:after="0"/>
                        <w:rPr>
                          <w:rFonts w:ascii="Verdana" w:hAnsi="Verdana"/>
                        </w:rPr>
                      </w:pPr>
                      <w:r>
                        <w:rPr>
                          <w:rFonts w:ascii="Verdana" w:hAnsi="Verdana"/>
                        </w:rPr>
                        <w:t>Eastern IFCA</w:t>
                      </w:r>
                    </w:p>
                    <w:p w:rsidR="00A30415" w:rsidRDefault="00A30415" w:rsidP="00A30415">
                      <w:pPr>
                        <w:spacing w:after="0"/>
                        <w:rPr>
                          <w:rFonts w:ascii="Verdana" w:hAnsi="Verdana"/>
                        </w:rPr>
                      </w:pPr>
                      <w:r>
                        <w:rPr>
                          <w:rFonts w:ascii="Verdana" w:hAnsi="Verdana"/>
                        </w:rPr>
                        <w:t xml:space="preserve">6 North Lynn Business </w:t>
                      </w:r>
                      <w:proofErr w:type="gramStart"/>
                      <w:r>
                        <w:rPr>
                          <w:rFonts w:ascii="Verdana" w:hAnsi="Verdana"/>
                        </w:rPr>
                        <w:t>Village</w:t>
                      </w:r>
                      <w:proofErr w:type="gramEnd"/>
                    </w:p>
                    <w:p w:rsidR="00A30415" w:rsidRDefault="00A30415" w:rsidP="00A30415">
                      <w:pPr>
                        <w:spacing w:after="0"/>
                        <w:rPr>
                          <w:rFonts w:ascii="Verdana" w:hAnsi="Verdana"/>
                        </w:rPr>
                      </w:pPr>
                      <w:r>
                        <w:rPr>
                          <w:rFonts w:ascii="Verdana" w:hAnsi="Verdana"/>
                        </w:rPr>
                        <w:t>Bergen Way</w:t>
                      </w:r>
                    </w:p>
                    <w:p w:rsidR="00A30415" w:rsidRDefault="00A30415" w:rsidP="00A30415">
                      <w:pPr>
                        <w:spacing w:after="0"/>
                        <w:rPr>
                          <w:rFonts w:ascii="Verdana" w:hAnsi="Verdana"/>
                        </w:rPr>
                      </w:pPr>
                      <w:r>
                        <w:rPr>
                          <w:rFonts w:ascii="Verdana" w:hAnsi="Verdana"/>
                        </w:rPr>
                        <w:t xml:space="preserve">King’s Lynn </w:t>
                      </w:r>
                    </w:p>
                    <w:p w:rsidR="00A30415" w:rsidRPr="00A30415" w:rsidRDefault="00F45340" w:rsidP="00A30415">
                      <w:pPr>
                        <w:spacing w:after="0"/>
                        <w:rPr>
                          <w:rFonts w:ascii="Verdana" w:hAnsi="Verdana"/>
                        </w:rPr>
                      </w:pPr>
                      <w:r>
                        <w:rPr>
                          <w:rFonts w:ascii="Verdana" w:hAnsi="Verdana"/>
                        </w:rPr>
                        <w:t>PE30 2JG</w:t>
                      </w:r>
                    </w:p>
                    <w:p w:rsidR="00A30415" w:rsidRDefault="00A30415" w:rsidP="00A30415"/>
                  </w:txbxContent>
                </v:textbox>
              </v:shape>
            </w:pict>
          </mc:Fallback>
        </mc:AlternateContent>
      </w:r>
    </w:p>
    <w:p w:rsidR="00A30415" w:rsidRPr="00A30415" w:rsidRDefault="00A30415" w:rsidP="00A30415">
      <w:pPr>
        <w:jc w:val="both"/>
        <w:rPr>
          <w:rFonts w:ascii="Verdana" w:hAnsi="Verdana"/>
        </w:rPr>
      </w:pPr>
    </w:p>
    <w:p w:rsidR="00A30415" w:rsidRPr="00A30415" w:rsidRDefault="00A30415" w:rsidP="00A30415">
      <w:pPr>
        <w:jc w:val="both"/>
        <w:rPr>
          <w:rFonts w:ascii="Verdana" w:hAnsi="Verdana"/>
        </w:rPr>
      </w:pPr>
    </w:p>
    <w:p w:rsidR="00A30415" w:rsidRPr="00A30415" w:rsidRDefault="00A30415" w:rsidP="00A30415">
      <w:pPr>
        <w:jc w:val="both"/>
        <w:rPr>
          <w:rFonts w:ascii="Verdana" w:hAnsi="Verdana"/>
        </w:rPr>
      </w:pPr>
    </w:p>
    <w:p w:rsidR="00A30415" w:rsidRPr="00A30415" w:rsidRDefault="00A30415" w:rsidP="00A30415">
      <w:pPr>
        <w:jc w:val="both"/>
        <w:rPr>
          <w:rFonts w:ascii="Verdana" w:hAnsi="Verdana"/>
        </w:rPr>
      </w:pPr>
    </w:p>
    <w:p w:rsidR="00A30415" w:rsidRDefault="00A30415" w:rsidP="00A30415">
      <w:pPr>
        <w:jc w:val="both"/>
        <w:rPr>
          <w:rFonts w:ascii="Verdana" w:hAnsi="Verdana"/>
        </w:rPr>
      </w:pPr>
    </w:p>
    <w:p w:rsidR="00907B81" w:rsidRDefault="00907B81" w:rsidP="00A30415">
      <w:pPr>
        <w:jc w:val="both"/>
        <w:rPr>
          <w:rFonts w:ascii="Verdana" w:hAnsi="Verdana"/>
        </w:rPr>
      </w:pPr>
      <w:r>
        <w:rPr>
          <w:rFonts w:ascii="Verdana" w:hAnsi="Verdana"/>
        </w:rPr>
        <w:t>Please also forward any comments or completed questionnaires to the Marine Management Organisation at either of the following:</w:t>
      </w:r>
    </w:p>
    <w:p w:rsidR="00907B81" w:rsidRDefault="00907B81" w:rsidP="00A30415">
      <w:pPr>
        <w:jc w:val="both"/>
        <w:rPr>
          <w:rFonts w:ascii="Verdana" w:hAnsi="Verdana"/>
        </w:rPr>
      </w:pPr>
      <w:r>
        <w:rPr>
          <w:rFonts w:ascii="Verdana" w:hAnsi="Verdana"/>
          <w:u w:val="single"/>
        </w:rPr>
        <w:t xml:space="preserve">Postal </w:t>
      </w:r>
      <w:r w:rsidRPr="00907B81">
        <w:rPr>
          <w:rFonts w:ascii="Verdana" w:hAnsi="Verdana"/>
          <w:u w:val="single"/>
        </w:rPr>
        <w:t>Address</w:t>
      </w:r>
    </w:p>
    <w:p w:rsidR="00907B81" w:rsidRDefault="00907B81" w:rsidP="00907B81">
      <w:pPr>
        <w:spacing w:after="0"/>
        <w:jc w:val="both"/>
        <w:rPr>
          <w:rFonts w:ascii="Verdana" w:hAnsi="Verdana"/>
        </w:rPr>
      </w:pPr>
      <w:r w:rsidRPr="00907B81">
        <w:rPr>
          <w:rFonts w:ascii="Verdana" w:hAnsi="Verdana"/>
        </w:rPr>
        <w:t>Marine Con</w:t>
      </w:r>
      <w:r>
        <w:rPr>
          <w:rFonts w:ascii="Verdana" w:hAnsi="Verdana"/>
        </w:rPr>
        <w:t>servation and Enforcement Team</w:t>
      </w:r>
    </w:p>
    <w:p w:rsidR="00907B81" w:rsidRDefault="00907B81" w:rsidP="00907B81">
      <w:pPr>
        <w:spacing w:after="0"/>
        <w:jc w:val="both"/>
        <w:rPr>
          <w:rFonts w:ascii="Verdana" w:hAnsi="Verdana"/>
        </w:rPr>
      </w:pPr>
      <w:r>
        <w:rPr>
          <w:rFonts w:ascii="Verdana" w:hAnsi="Verdana"/>
        </w:rPr>
        <w:t>Marine Management Organisation</w:t>
      </w:r>
    </w:p>
    <w:p w:rsidR="00907B81" w:rsidRDefault="00907B81" w:rsidP="00907B81">
      <w:pPr>
        <w:spacing w:after="0"/>
        <w:jc w:val="both"/>
        <w:rPr>
          <w:rFonts w:ascii="Verdana" w:hAnsi="Verdana"/>
        </w:rPr>
      </w:pPr>
      <w:r>
        <w:rPr>
          <w:rFonts w:ascii="Verdana" w:hAnsi="Verdana"/>
        </w:rPr>
        <w:t>Lancaster House</w:t>
      </w:r>
    </w:p>
    <w:p w:rsidR="00907B81" w:rsidRDefault="00907B81" w:rsidP="00907B81">
      <w:pPr>
        <w:spacing w:after="0"/>
        <w:jc w:val="both"/>
        <w:rPr>
          <w:rFonts w:ascii="Verdana" w:hAnsi="Verdana"/>
        </w:rPr>
      </w:pPr>
      <w:r>
        <w:rPr>
          <w:rFonts w:ascii="Verdana" w:hAnsi="Verdana"/>
        </w:rPr>
        <w:t>Hampshire Court</w:t>
      </w:r>
    </w:p>
    <w:p w:rsidR="00907B81" w:rsidRDefault="00907B81" w:rsidP="00907B81">
      <w:pPr>
        <w:spacing w:after="0"/>
        <w:jc w:val="both"/>
        <w:rPr>
          <w:rFonts w:ascii="Verdana" w:hAnsi="Verdana"/>
        </w:rPr>
      </w:pPr>
      <w:r w:rsidRPr="00907B81">
        <w:rPr>
          <w:rFonts w:ascii="Verdana" w:hAnsi="Verdana"/>
        </w:rPr>
        <w:t>Newcastle-Upon-Tyne</w:t>
      </w:r>
    </w:p>
    <w:p w:rsidR="00907B81" w:rsidRDefault="00907B81" w:rsidP="00907B81">
      <w:pPr>
        <w:spacing w:after="0"/>
        <w:jc w:val="both"/>
        <w:rPr>
          <w:rFonts w:ascii="Verdana" w:hAnsi="Verdana"/>
        </w:rPr>
      </w:pPr>
      <w:r>
        <w:rPr>
          <w:rFonts w:ascii="Verdana" w:hAnsi="Verdana"/>
        </w:rPr>
        <w:t>NE4 7HY</w:t>
      </w:r>
    </w:p>
    <w:p w:rsidR="00907B81" w:rsidRPr="00907B81" w:rsidRDefault="00907B81" w:rsidP="00907B81">
      <w:pPr>
        <w:spacing w:after="0"/>
        <w:jc w:val="both"/>
        <w:rPr>
          <w:rFonts w:ascii="Verdana" w:hAnsi="Verdana"/>
          <w:b/>
        </w:rPr>
      </w:pPr>
      <w:r w:rsidRPr="00907B81">
        <w:rPr>
          <w:rFonts w:ascii="Verdana" w:hAnsi="Verdana"/>
          <w:b/>
        </w:rPr>
        <w:t xml:space="preserve">Or </w:t>
      </w:r>
    </w:p>
    <w:p w:rsidR="00907B81" w:rsidRDefault="00907B81" w:rsidP="00907B81">
      <w:pPr>
        <w:spacing w:after="0"/>
        <w:jc w:val="both"/>
        <w:rPr>
          <w:rFonts w:ascii="Verdana" w:hAnsi="Verdana"/>
        </w:rPr>
      </w:pPr>
      <w:r w:rsidRPr="00907B81">
        <w:rPr>
          <w:rFonts w:ascii="Verdana" w:hAnsi="Verdana"/>
        </w:rPr>
        <w:t>Email</w:t>
      </w:r>
      <w:r>
        <w:rPr>
          <w:rFonts w:ascii="Verdana" w:hAnsi="Verdana"/>
        </w:rPr>
        <w:t>:</w:t>
      </w:r>
      <w:r w:rsidRPr="00907B81">
        <w:rPr>
          <w:rFonts w:ascii="Verdana" w:hAnsi="Verdana"/>
        </w:rPr>
        <w:t xml:space="preserve"> </w:t>
      </w:r>
      <w:hyperlink r:id="rId10" w:history="1">
        <w:r w:rsidRPr="000D18CE">
          <w:rPr>
            <w:rStyle w:val="Hyperlink"/>
            <w:rFonts w:ascii="Verdana" w:hAnsi="Verdana"/>
          </w:rPr>
          <w:t>IFCAbyelaws@marinemanagement.org</w:t>
        </w:r>
      </w:hyperlink>
      <w:r>
        <w:rPr>
          <w:rFonts w:ascii="Verdana" w:hAnsi="Verdana"/>
        </w:rPr>
        <w:t xml:space="preserve"> </w:t>
      </w:r>
    </w:p>
    <w:p w:rsidR="00907B81" w:rsidRDefault="00907B81" w:rsidP="00A30415">
      <w:pPr>
        <w:jc w:val="both"/>
        <w:rPr>
          <w:rFonts w:ascii="Verdana" w:hAnsi="Verdana"/>
          <w:u w:val="single"/>
        </w:rPr>
      </w:pPr>
    </w:p>
    <w:p w:rsidR="00B50640" w:rsidRDefault="00B50640" w:rsidP="00A30415">
      <w:pPr>
        <w:jc w:val="both"/>
        <w:rPr>
          <w:rFonts w:ascii="Verdana" w:hAnsi="Verdana"/>
          <w:u w:val="single"/>
        </w:rPr>
      </w:pPr>
      <w:r>
        <w:rPr>
          <w:rFonts w:ascii="Verdana" w:hAnsi="Verdana"/>
          <w:u w:val="single"/>
        </w:rPr>
        <w:t>Key links (click the link to open):</w:t>
      </w:r>
    </w:p>
    <w:p w:rsidR="00B50640" w:rsidRPr="00862AFF" w:rsidRDefault="003227FB" w:rsidP="00A30415">
      <w:pPr>
        <w:jc w:val="both"/>
        <w:rPr>
          <w:rFonts w:ascii="Verdana" w:hAnsi="Verdana"/>
          <w:b/>
        </w:rPr>
      </w:pPr>
      <w:hyperlink r:id="rId11" w:history="1">
        <w:r w:rsidR="00B50640" w:rsidRPr="00633A12">
          <w:rPr>
            <w:rStyle w:val="Hyperlink"/>
            <w:rFonts w:ascii="Verdana" w:hAnsi="Verdana"/>
            <w:b/>
          </w:rPr>
          <w:t>Eastern IFCA Permitting Byelaw</w:t>
        </w:r>
      </w:hyperlink>
    </w:p>
    <w:p w:rsidR="00B50640" w:rsidRPr="00862AFF" w:rsidRDefault="003227FB" w:rsidP="00A30415">
      <w:pPr>
        <w:jc w:val="both"/>
        <w:rPr>
          <w:rFonts w:ascii="Verdana" w:hAnsi="Verdana"/>
          <w:b/>
        </w:rPr>
      </w:pPr>
      <w:hyperlink r:id="rId12" w:history="1">
        <w:r w:rsidR="00B50640" w:rsidRPr="00633A12">
          <w:rPr>
            <w:rStyle w:val="Hyperlink"/>
            <w:rFonts w:ascii="Verdana" w:hAnsi="Verdana"/>
            <w:b/>
          </w:rPr>
          <w:t>Eastern IFCA Permitting Byelaw – Permit Condition Notice (Whelks)</w:t>
        </w:r>
      </w:hyperlink>
    </w:p>
    <w:p w:rsidR="00B50640" w:rsidRPr="00862AFF" w:rsidRDefault="003227FB" w:rsidP="00A30415">
      <w:pPr>
        <w:jc w:val="both"/>
        <w:rPr>
          <w:rFonts w:ascii="Verdana" w:hAnsi="Verdana"/>
          <w:b/>
        </w:rPr>
      </w:pPr>
      <w:hyperlink r:id="rId13" w:history="1">
        <w:r w:rsidR="00B50640" w:rsidRPr="00633A12">
          <w:rPr>
            <w:rStyle w:val="Hyperlink"/>
            <w:rFonts w:ascii="Verdana" w:hAnsi="Verdana"/>
            <w:b/>
          </w:rPr>
          <w:t>Eastern IFCA Whelk Byelaw</w:t>
        </w:r>
      </w:hyperlink>
    </w:p>
    <w:p w:rsidR="00B50640" w:rsidRPr="00862AFF" w:rsidRDefault="003227FB" w:rsidP="00A30415">
      <w:pPr>
        <w:jc w:val="both"/>
        <w:rPr>
          <w:rFonts w:ascii="Verdana" w:hAnsi="Verdana"/>
          <w:b/>
        </w:rPr>
      </w:pPr>
      <w:hyperlink r:id="rId14" w:history="1">
        <w:r w:rsidR="00B50640" w:rsidRPr="003227FB">
          <w:rPr>
            <w:rStyle w:val="Hyperlink"/>
            <w:rFonts w:ascii="Verdana" w:hAnsi="Verdana"/>
            <w:b/>
          </w:rPr>
          <w:t>Whelk measures Impact Assessment</w:t>
        </w:r>
      </w:hyperlink>
      <w:bookmarkStart w:id="0" w:name="_GoBack"/>
      <w:bookmarkEnd w:id="0"/>
    </w:p>
    <w:p w:rsidR="00A30415" w:rsidRDefault="00A30415" w:rsidP="00A30415">
      <w:pPr>
        <w:jc w:val="both"/>
        <w:rPr>
          <w:rFonts w:ascii="Verdana" w:hAnsi="Verdana"/>
          <w:u w:val="single"/>
        </w:rPr>
      </w:pPr>
      <w:r>
        <w:rPr>
          <w:rFonts w:ascii="Verdana" w:hAnsi="Verdana"/>
          <w:u w:val="single"/>
        </w:rPr>
        <w:t>Why are whelk measures necessary?</w:t>
      </w:r>
    </w:p>
    <w:p w:rsidR="00A30415" w:rsidRDefault="003F4BDC" w:rsidP="00A30415">
      <w:pPr>
        <w:jc w:val="both"/>
        <w:rPr>
          <w:rFonts w:ascii="Verdana" w:hAnsi="Verdana"/>
        </w:rPr>
      </w:pPr>
      <w:r>
        <w:rPr>
          <w:rFonts w:ascii="Verdana" w:hAnsi="Verdana"/>
        </w:rPr>
        <w:t>The whelk fishery within Eastern IFCA’s district suffered from a drop in catch per vessel in 2014.  Landings data indicates that effort rose dramatically in 2014 as more vessels joined the fishery and more p</w:t>
      </w:r>
      <w:r w:rsidR="00392027">
        <w:rPr>
          <w:rFonts w:ascii="Verdana" w:hAnsi="Verdana"/>
        </w:rPr>
        <w:t>o</w:t>
      </w:r>
      <w:r>
        <w:rPr>
          <w:rFonts w:ascii="Verdana" w:hAnsi="Verdana"/>
        </w:rPr>
        <w:t xml:space="preserve">ts were used per vessel.  Eastern IFCA </w:t>
      </w:r>
      <w:r>
        <w:rPr>
          <w:rFonts w:ascii="Verdana" w:hAnsi="Verdana"/>
        </w:rPr>
        <w:lastRenderedPageBreak/>
        <w:t xml:space="preserve">investigated the potential for the fishery to be at risk and also identified that the minimum landing size for whelk is potentially far below the size at which whelks are sexually mature – i.e. whelks were being removed from the fishery before they spawned.  </w:t>
      </w:r>
    </w:p>
    <w:p w:rsidR="003F4BDC" w:rsidRDefault="003F4BDC" w:rsidP="00A30415">
      <w:pPr>
        <w:jc w:val="both"/>
        <w:rPr>
          <w:rFonts w:ascii="Verdana" w:hAnsi="Verdana"/>
        </w:rPr>
      </w:pPr>
      <w:r>
        <w:rPr>
          <w:rFonts w:ascii="Verdana" w:hAnsi="Verdana"/>
        </w:rPr>
        <w:t xml:space="preserve">Whelks are thought to be very vulnerable to over-fishing, a reflection of their slow growth and low mobility.  In addition, there is very little data on fishing activity for whelks.  As such, an emergency byelaw was introduced in April of 2015, the objective of which was to prevent further damage to the whelk fishery. </w:t>
      </w:r>
    </w:p>
    <w:p w:rsidR="003F4BDC" w:rsidRDefault="003F4BDC" w:rsidP="00A30415">
      <w:pPr>
        <w:jc w:val="both"/>
        <w:rPr>
          <w:rFonts w:ascii="Verdana" w:hAnsi="Verdana"/>
        </w:rPr>
      </w:pPr>
      <w:r>
        <w:rPr>
          <w:rFonts w:ascii="Verdana" w:hAnsi="Verdana"/>
        </w:rPr>
        <w:t>The issues which surrounded the fishery in 2014 are still prevalent – the m</w:t>
      </w:r>
      <w:r w:rsidR="00830131">
        <w:rPr>
          <w:rFonts w:ascii="Verdana" w:hAnsi="Verdana"/>
        </w:rPr>
        <w:t>inimum landing size for whelks is</w:t>
      </w:r>
      <w:r>
        <w:rPr>
          <w:rFonts w:ascii="Verdana" w:hAnsi="Verdana"/>
        </w:rPr>
        <w:t xml:space="preserve"> still </w:t>
      </w:r>
      <w:r w:rsidR="00830131">
        <w:rPr>
          <w:rFonts w:ascii="Verdana" w:hAnsi="Verdana"/>
        </w:rPr>
        <w:t>thought to be too low</w:t>
      </w:r>
      <w:r>
        <w:rPr>
          <w:rFonts w:ascii="Verdana" w:hAnsi="Verdana"/>
        </w:rPr>
        <w:t xml:space="preserve"> and without Eastern IFCA intervention, there is no mechanism to limit effort to sustainable levels.  As such, Eastern IFCA has proposed measures to replace the emergency byelaw (which expires on 29</w:t>
      </w:r>
      <w:r w:rsidRPr="003F4BDC">
        <w:rPr>
          <w:rFonts w:ascii="Verdana" w:hAnsi="Verdana"/>
          <w:vertAlign w:val="superscript"/>
        </w:rPr>
        <w:t>th</w:t>
      </w:r>
      <w:r>
        <w:rPr>
          <w:rFonts w:ascii="Verdana" w:hAnsi="Verdana"/>
        </w:rPr>
        <w:t xml:space="preserve"> April 2016) with permanent measures. </w:t>
      </w:r>
    </w:p>
    <w:p w:rsidR="003F4BDC" w:rsidRDefault="003F4BDC" w:rsidP="00A30415">
      <w:pPr>
        <w:jc w:val="both"/>
        <w:rPr>
          <w:rFonts w:ascii="Verdana" w:hAnsi="Verdana"/>
          <w:u w:val="single"/>
        </w:rPr>
      </w:pPr>
      <w:r>
        <w:rPr>
          <w:rFonts w:ascii="Verdana" w:hAnsi="Verdana"/>
          <w:u w:val="single"/>
        </w:rPr>
        <w:t xml:space="preserve">What are the </w:t>
      </w:r>
      <w:r w:rsidR="00392027">
        <w:rPr>
          <w:rFonts w:ascii="Verdana" w:hAnsi="Verdana"/>
          <w:u w:val="single"/>
        </w:rPr>
        <w:t>proposed</w:t>
      </w:r>
      <w:r>
        <w:rPr>
          <w:rFonts w:ascii="Verdana" w:hAnsi="Verdana"/>
          <w:u w:val="single"/>
        </w:rPr>
        <w:t xml:space="preserve"> whelk measures?</w:t>
      </w:r>
    </w:p>
    <w:p w:rsidR="003F4BDC" w:rsidRDefault="00392027" w:rsidP="00A30415">
      <w:pPr>
        <w:jc w:val="both"/>
        <w:rPr>
          <w:rFonts w:ascii="Verdana" w:hAnsi="Verdana"/>
        </w:rPr>
      </w:pPr>
      <w:r>
        <w:rPr>
          <w:rFonts w:ascii="Verdana" w:hAnsi="Verdana"/>
        </w:rPr>
        <w:t xml:space="preserve">The proposed whelk measures are designed to fulfil four main objectives: </w:t>
      </w:r>
    </w:p>
    <w:p w:rsidR="00392027" w:rsidRDefault="00392027" w:rsidP="00392027">
      <w:pPr>
        <w:pStyle w:val="ListParagraph"/>
        <w:numPr>
          <w:ilvl w:val="0"/>
          <w:numId w:val="1"/>
        </w:numPr>
        <w:jc w:val="both"/>
        <w:rPr>
          <w:rFonts w:ascii="Verdana" w:hAnsi="Verdana"/>
        </w:rPr>
      </w:pPr>
      <w:r>
        <w:rPr>
          <w:rFonts w:ascii="Verdana" w:hAnsi="Verdana"/>
        </w:rPr>
        <w:t>Limit effort to sustainable levels;</w:t>
      </w:r>
    </w:p>
    <w:p w:rsidR="00392027" w:rsidRDefault="00392027" w:rsidP="00392027">
      <w:pPr>
        <w:pStyle w:val="ListParagraph"/>
        <w:numPr>
          <w:ilvl w:val="0"/>
          <w:numId w:val="1"/>
        </w:numPr>
        <w:jc w:val="both"/>
        <w:rPr>
          <w:rFonts w:ascii="Verdana" w:hAnsi="Verdana"/>
        </w:rPr>
      </w:pPr>
      <w:r>
        <w:rPr>
          <w:rFonts w:ascii="Verdana" w:hAnsi="Verdana"/>
        </w:rPr>
        <w:t>Reduce or prevent the removal of pre-spawning whelks;</w:t>
      </w:r>
    </w:p>
    <w:p w:rsidR="00392027" w:rsidRDefault="00392027" w:rsidP="00392027">
      <w:pPr>
        <w:pStyle w:val="ListParagraph"/>
        <w:numPr>
          <w:ilvl w:val="0"/>
          <w:numId w:val="1"/>
        </w:numPr>
        <w:jc w:val="both"/>
        <w:rPr>
          <w:rFonts w:ascii="Verdana" w:hAnsi="Verdana"/>
        </w:rPr>
      </w:pPr>
      <w:r>
        <w:rPr>
          <w:rFonts w:ascii="Verdana" w:hAnsi="Verdana"/>
        </w:rPr>
        <w:t>Collect data to determine the ‘health’ of the stock; and</w:t>
      </w:r>
    </w:p>
    <w:p w:rsidR="00392027" w:rsidRDefault="00392027" w:rsidP="00392027">
      <w:pPr>
        <w:pStyle w:val="ListParagraph"/>
        <w:numPr>
          <w:ilvl w:val="0"/>
          <w:numId w:val="1"/>
        </w:numPr>
        <w:jc w:val="both"/>
        <w:rPr>
          <w:rFonts w:ascii="Verdana" w:hAnsi="Verdana"/>
        </w:rPr>
      </w:pPr>
      <w:r>
        <w:rPr>
          <w:rFonts w:ascii="Verdana" w:hAnsi="Verdana"/>
        </w:rPr>
        <w:t>Allow for effective enforcement of the measure</w:t>
      </w:r>
      <w:r w:rsidR="00830131">
        <w:rPr>
          <w:rFonts w:ascii="Verdana" w:hAnsi="Verdana"/>
        </w:rPr>
        <w:t>s</w:t>
      </w:r>
      <w:r>
        <w:rPr>
          <w:rFonts w:ascii="Verdana" w:hAnsi="Verdana"/>
        </w:rPr>
        <w:t xml:space="preserve">. </w:t>
      </w:r>
    </w:p>
    <w:p w:rsidR="00392027" w:rsidRDefault="00392027" w:rsidP="00392027">
      <w:pPr>
        <w:jc w:val="both"/>
        <w:rPr>
          <w:rFonts w:ascii="Verdana" w:hAnsi="Verdana"/>
        </w:rPr>
      </w:pPr>
      <w:r>
        <w:rPr>
          <w:rFonts w:ascii="Verdana" w:hAnsi="Verdana"/>
        </w:rPr>
        <w:t>To achieve these objectives, the following restrictions have been proposed:</w:t>
      </w:r>
    </w:p>
    <w:p w:rsidR="00392027" w:rsidRDefault="00392027" w:rsidP="00392027">
      <w:pPr>
        <w:jc w:val="both"/>
        <w:rPr>
          <w:rFonts w:ascii="Verdana" w:hAnsi="Verdana"/>
          <w:u w:val="single"/>
        </w:rPr>
      </w:pPr>
      <w:r>
        <w:rPr>
          <w:rFonts w:ascii="Verdana" w:hAnsi="Verdana"/>
          <w:u w:val="single"/>
        </w:rPr>
        <w:t>Effort limitation</w:t>
      </w:r>
    </w:p>
    <w:p w:rsidR="00392027" w:rsidRDefault="00392027" w:rsidP="00392027">
      <w:pPr>
        <w:pStyle w:val="ListParagraph"/>
        <w:numPr>
          <w:ilvl w:val="0"/>
          <w:numId w:val="1"/>
        </w:numPr>
        <w:jc w:val="both"/>
        <w:rPr>
          <w:rFonts w:ascii="Verdana" w:hAnsi="Verdana"/>
        </w:rPr>
      </w:pPr>
      <w:r>
        <w:rPr>
          <w:rFonts w:ascii="Verdana" w:hAnsi="Verdana"/>
        </w:rPr>
        <w:t>Limit the number of pots which can be used per vessel to 500</w:t>
      </w:r>
      <w:r w:rsidR="00830131">
        <w:rPr>
          <w:rFonts w:ascii="Verdana" w:hAnsi="Verdana"/>
        </w:rPr>
        <w:t xml:space="preserve"> for commercial fishers and 5 for recreational fishers</w:t>
      </w:r>
      <w:r>
        <w:rPr>
          <w:rFonts w:ascii="Verdana" w:hAnsi="Verdana"/>
        </w:rPr>
        <w:t>;</w:t>
      </w:r>
    </w:p>
    <w:p w:rsidR="00392027" w:rsidRDefault="00392027" w:rsidP="00392027">
      <w:pPr>
        <w:pStyle w:val="ListParagraph"/>
        <w:numPr>
          <w:ilvl w:val="0"/>
          <w:numId w:val="1"/>
        </w:numPr>
        <w:jc w:val="both"/>
        <w:rPr>
          <w:rFonts w:ascii="Verdana" w:hAnsi="Verdana"/>
        </w:rPr>
      </w:pPr>
      <w:r>
        <w:rPr>
          <w:rFonts w:ascii="Verdana" w:hAnsi="Verdana"/>
        </w:rPr>
        <w:t>Limit the internal pot volume of whelk pots to 30 litres.</w:t>
      </w:r>
    </w:p>
    <w:p w:rsidR="00392027" w:rsidRDefault="00392027" w:rsidP="00392027">
      <w:pPr>
        <w:jc w:val="both"/>
        <w:rPr>
          <w:rFonts w:ascii="Verdana" w:hAnsi="Verdana"/>
          <w:u w:val="single"/>
        </w:rPr>
      </w:pPr>
      <w:r>
        <w:rPr>
          <w:rFonts w:ascii="Verdana" w:hAnsi="Verdana"/>
          <w:u w:val="single"/>
        </w:rPr>
        <w:t>Reduce or prevent the removal of pre-spawning whelks</w:t>
      </w:r>
    </w:p>
    <w:p w:rsidR="00392027" w:rsidRDefault="00392027" w:rsidP="00392027">
      <w:pPr>
        <w:pStyle w:val="ListParagraph"/>
        <w:numPr>
          <w:ilvl w:val="0"/>
          <w:numId w:val="1"/>
        </w:numPr>
        <w:jc w:val="both"/>
        <w:rPr>
          <w:rFonts w:ascii="Verdana" w:hAnsi="Verdana"/>
        </w:rPr>
      </w:pPr>
      <w:r>
        <w:rPr>
          <w:rFonts w:ascii="Verdana" w:hAnsi="Verdana"/>
        </w:rPr>
        <w:t>Minimum landing size (for whelks caught within the district) of 55mm length;</w:t>
      </w:r>
    </w:p>
    <w:p w:rsidR="00392027" w:rsidRDefault="00392027" w:rsidP="00392027">
      <w:pPr>
        <w:pStyle w:val="ListParagraph"/>
        <w:numPr>
          <w:ilvl w:val="0"/>
          <w:numId w:val="1"/>
        </w:numPr>
        <w:jc w:val="both"/>
        <w:rPr>
          <w:rFonts w:ascii="Verdana" w:hAnsi="Verdana"/>
        </w:rPr>
      </w:pPr>
      <w:r>
        <w:rPr>
          <w:rFonts w:ascii="Verdana" w:hAnsi="Verdana"/>
        </w:rPr>
        <w:t>Requirement to sort catch using a riddle with bar spacing of a minimum space of 24mm;</w:t>
      </w:r>
    </w:p>
    <w:p w:rsidR="00392027" w:rsidRDefault="00392027" w:rsidP="00392027">
      <w:pPr>
        <w:pStyle w:val="ListParagraph"/>
        <w:numPr>
          <w:ilvl w:val="0"/>
          <w:numId w:val="1"/>
        </w:numPr>
        <w:jc w:val="both"/>
        <w:rPr>
          <w:rFonts w:ascii="Verdana" w:hAnsi="Verdana"/>
        </w:rPr>
      </w:pPr>
      <w:r>
        <w:rPr>
          <w:rFonts w:ascii="Verdana" w:hAnsi="Verdana"/>
        </w:rPr>
        <w:t>Requirement for pots to have a minimum of two escape holes of at least 24mm.</w:t>
      </w:r>
    </w:p>
    <w:p w:rsidR="00392027" w:rsidRDefault="00D77435" w:rsidP="00392027">
      <w:pPr>
        <w:jc w:val="both"/>
        <w:rPr>
          <w:rFonts w:ascii="Verdana" w:hAnsi="Verdana"/>
          <w:u w:val="single"/>
        </w:rPr>
      </w:pPr>
      <w:r>
        <w:rPr>
          <w:rFonts w:ascii="Verdana" w:hAnsi="Verdana"/>
          <w:u w:val="single"/>
        </w:rPr>
        <w:t>Collect data to determine the ‘health’ of the stock</w:t>
      </w:r>
    </w:p>
    <w:p w:rsidR="00D77435" w:rsidRDefault="00D77435" w:rsidP="00D77435">
      <w:pPr>
        <w:pStyle w:val="ListParagraph"/>
        <w:numPr>
          <w:ilvl w:val="0"/>
          <w:numId w:val="1"/>
        </w:numPr>
        <w:jc w:val="both"/>
        <w:rPr>
          <w:rFonts w:ascii="Verdana" w:hAnsi="Verdana"/>
        </w:rPr>
      </w:pPr>
      <w:r>
        <w:rPr>
          <w:rFonts w:ascii="Verdana" w:hAnsi="Verdana"/>
        </w:rPr>
        <w:t xml:space="preserve">Requirement to complete monthly catch returns; </w:t>
      </w:r>
    </w:p>
    <w:p w:rsidR="00D77435" w:rsidRDefault="00D77435" w:rsidP="00D77435">
      <w:pPr>
        <w:pStyle w:val="ListParagraph"/>
        <w:numPr>
          <w:ilvl w:val="0"/>
          <w:numId w:val="1"/>
        </w:numPr>
        <w:jc w:val="both"/>
        <w:rPr>
          <w:rFonts w:ascii="Verdana" w:hAnsi="Verdana"/>
        </w:rPr>
      </w:pPr>
      <w:r>
        <w:rPr>
          <w:rFonts w:ascii="Verdana" w:hAnsi="Verdana"/>
        </w:rPr>
        <w:t>Catch logs to be returned to Eastern IFCA by the 10</w:t>
      </w:r>
      <w:r w:rsidRPr="00D77435">
        <w:rPr>
          <w:rFonts w:ascii="Verdana" w:hAnsi="Verdana"/>
          <w:vertAlign w:val="superscript"/>
        </w:rPr>
        <w:t>th</w:t>
      </w:r>
      <w:r w:rsidR="00830131">
        <w:rPr>
          <w:rFonts w:ascii="Verdana" w:hAnsi="Verdana"/>
        </w:rPr>
        <w:t xml:space="preserve"> day o</w:t>
      </w:r>
      <w:r>
        <w:rPr>
          <w:rFonts w:ascii="Verdana" w:hAnsi="Verdana"/>
        </w:rPr>
        <w:t>f each month.</w:t>
      </w:r>
    </w:p>
    <w:p w:rsidR="00D77435" w:rsidRDefault="00D77435" w:rsidP="00D77435">
      <w:pPr>
        <w:jc w:val="both"/>
        <w:rPr>
          <w:rFonts w:ascii="Verdana" w:hAnsi="Verdana"/>
          <w:u w:val="single"/>
        </w:rPr>
      </w:pPr>
      <w:r>
        <w:rPr>
          <w:rFonts w:ascii="Verdana" w:hAnsi="Verdana"/>
          <w:u w:val="single"/>
        </w:rPr>
        <w:t>Allow for effective enforcement</w:t>
      </w:r>
    </w:p>
    <w:p w:rsidR="00D77435" w:rsidRDefault="00D77435" w:rsidP="00D77435">
      <w:pPr>
        <w:pStyle w:val="ListParagraph"/>
        <w:numPr>
          <w:ilvl w:val="0"/>
          <w:numId w:val="1"/>
        </w:numPr>
        <w:jc w:val="both"/>
        <w:rPr>
          <w:rFonts w:ascii="Verdana" w:hAnsi="Verdana"/>
        </w:rPr>
      </w:pPr>
      <w:r>
        <w:rPr>
          <w:rFonts w:ascii="Verdana" w:hAnsi="Verdana"/>
        </w:rPr>
        <w:t>Pots must be tagged with tags provided by Eastern IFCA</w:t>
      </w:r>
      <w:r w:rsidR="00830131">
        <w:rPr>
          <w:rFonts w:ascii="Verdana" w:hAnsi="Verdana"/>
        </w:rPr>
        <w:t>;</w:t>
      </w:r>
    </w:p>
    <w:p w:rsidR="00D77435" w:rsidRDefault="00D77435" w:rsidP="00D77435">
      <w:pPr>
        <w:pStyle w:val="ListParagraph"/>
        <w:numPr>
          <w:ilvl w:val="0"/>
          <w:numId w:val="1"/>
        </w:numPr>
        <w:jc w:val="both"/>
        <w:rPr>
          <w:rFonts w:ascii="Verdana" w:hAnsi="Verdana"/>
        </w:rPr>
      </w:pPr>
      <w:r>
        <w:rPr>
          <w:rFonts w:ascii="Verdana" w:hAnsi="Verdana"/>
        </w:rPr>
        <w:t xml:space="preserve">Set whelk gear must be marked with buoys or </w:t>
      </w:r>
      <w:proofErr w:type="spellStart"/>
      <w:r>
        <w:rPr>
          <w:rFonts w:ascii="Verdana" w:hAnsi="Verdana"/>
        </w:rPr>
        <w:t>dhans</w:t>
      </w:r>
      <w:proofErr w:type="spellEnd"/>
      <w:r>
        <w:rPr>
          <w:rFonts w:ascii="Verdana" w:hAnsi="Verdana"/>
        </w:rPr>
        <w:t xml:space="preserve"> which are visible at all states of the tide and are marked with the vessel PLN and permit number.</w:t>
      </w:r>
    </w:p>
    <w:p w:rsidR="00D77435" w:rsidRDefault="00D77435" w:rsidP="00D77435">
      <w:pPr>
        <w:jc w:val="both"/>
        <w:rPr>
          <w:rFonts w:ascii="Verdana" w:hAnsi="Verdana"/>
          <w:u w:val="single"/>
        </w:rPr>
      </w:pPr>
      <w:r>
        <w:rPr>
          <w:rFonts w:ascii="Verdana" w:hAnsi="Verdana"/>
          <w:u w:val="single"/>
        </w:rPr>
        <w:lastRenderedPageBreak/>
        <w:t>How will these measures be implemented?</w:t>
      </w:r>
    </w:p>
    <w:p w:rsidR="00D77435" w:rsidRDefault="00AD2F98" w:rsidP="00D77435">
      <w:pPr>
        <w:jc w:val="both"/>
        <w:rPr>
          <w:rFonts w:ascii="Verdana" w:hAnsi="Verdana"/>
        </w:rPr>
      </w:pPr>
      <w:r>
        <w:rPr>
          <w:rFonts w:ascii="Verdana" w:hAnsi="Verdana"/>
        </w:rPr>
        <w:t xml:space="preserve">It is proposed that the above measures are implemented through a combination of fixed byelaw provisions and flexible permit conditions.  Some of the measures require flexibility to be effective fisheries management tools. </w:t>
      </w:r>
    </w:p>
    <w:p w:rsidR="00AD2F98" w:rsidRDefault="00AD2F98" w:rsidP="00D77435">
      <w:pPr>
        <w:jc w:val="both"/>
        <w:rPr>
          <w:rFonts w:ascii="Verdana" w:hAnsi="Verdana"/>
        </w:rPr>
      </w:pPr>
      <w:r>
        <w:rPr>
          <w:rFonts w:ascii="Verdana" w:hAnsi="Verdana"/>
        </w:rPr>
        <w:t xml:space="preserve">To achieve this, Eastern IFCA has proposed the new </w:t>
      </w:r>
      <w:r w:rsidRPr="00645810">
        <w:rPr>
          <w:rFonts w:ascii="Verdana" w:hAnsi="Verdana"/>
          <w:b/>
        </w:rPr>
        <w:t>Eastern IFCA Permitting Byelaw</w:t>
      </w:r>
      <w:r>
        <w:rPr>
          <w:rFonts w:ascii="Verdana" w:hAnsi="Verdana"/>
        </w:rPr>
        <w:t xml:space="preserve"> which will allow for permits to be granted.  These permits will have associated permit conditions which must be adhered to.  The Permitting Byelaw will also contain a provision for the permit conditions to be introduced, revoked or varied through a proportionate process (which is outlined in the byelaw).  Through this process, Eastern IFCA can amend permit conditions to reflect the needs of the whelk fishery – e.</w:t>
      </w:r>
      <w:r w:rsidR="00645810">
        <w:rPr>
          <w:rFonts w:ascii="Verdana" w:hAnsi="Verdana"/>
        </w:rPr>
        <w:t>g. i</w:t>
      </w:r>
      <w:r>
        <w:rPr>
          <w:rFonts w:ascii="Verdana" w:hAnsi="Verdana"/>
        </w:rPr>
        <w:t xml:space="preserve">f the level of effort is too high, the number of pots per vessel can be reduced. </w:t>
      </w:r>
      <w:r w:rsidR="00B50640">
        <w:rPr>
          <w:rFonts w:ascii="Verdana" w:hAnsi="Verdana"/>
        </w:rPr>
        <w:t xml:space="preserve"> The permit conditions will be issued through a </w:t>
      </w:r>
      <w:r w:rsidR="00B50640" w:rsidRPr="00645810">
        <w:rPr>
          <w:rFonts w:ascii="Verdana" w:hAnsi="Verdana"/>
          <w:b/>
        </w:rPr>
        <w:t>Permit Conditions Notice</w:t>
      </w:r>
      <w:r w:rsidR="00B50640">
        <w:rPr>
          <w:rFonts w:ascii="Verdana" w:hAnsi="Verdana"/>
        </w:rPr>
        <w:t xml:space="preserve">. </w:t>
      </w:r>
    </w:p>
    <w:p w:rsidR="00AD2F98" w:rsidRDefault="00AD2F98" w:rsidP="00D77435">
      <w:pPr>
        <w:jc w:val="both"/>
        <w:rPr>
          <w:rFonts w:ascii="Verdana" w:hAnsi="Verdana"/>
        </w:rPr>
      </w:pPr>
      <w:r>
        <w:rPr>
          <w:rFonts w:ascii="Verdana" w:hAnsi="Verdana"/>
        </w:rPr>
        <w:t xml:space="preserve">In addition, Eastern IFCA will be able to limit the number of annual endorsements – which are required to fish for certain species under a permit – by following a proportionate process as set out in the byelaw.  This can also be used to reflect the needs of the fishery. </w:t>
      </w:r>
    </w:p>
    <w:p w:rsidR="00AD2F98" w:rsidRDefault="00AD2F98" w:rsidP="00D77435">
      <w:pPr>
        <w:jc w:val="both"/>
        <w:rPr>
          <w:rFonts w:ascii="Verdana" w:hAnsi="Verdana"/>
        </w:rPr>
      </w:pPr>
      <w:r>
        <w:rPr>
          <w:rFonts w:ascii="Verdana" w:hAnsi="Verdana"/>
        </w:rPr>
        <w:t xml:space="preserve">In addition to the Permitting Byelaw, Eastern IFCA has proposed the </w:t>
      </w:r>
      <w:r w:rsidRPr="00645810">
        <w:rPr>
          <w:rFonts w:ascii="Verdana" w:hAnsi="Verdana"/>
          <w:b/>
        </w:rPr>
        <w:t>Eastern IFCA Whelk Byelaw</w:t>
      </w:r>
      <w:r>
        <w:rPr>
          <w:rFonts w:ascii="Verdana" w:hAnsi="Verdana"/>
        </w:rPr>
        <w:t xml:space="preserve">. This byelaw will contain those measures which do not benefit from flexibility and will contain a provision to charge for permits – allowing Eastern IFCA to partially cost recover public money spent to manage the whelk fishery.  </w:t>
      </w:r>
      <w:r w:rsidR="00026170">
        <w:rPr>
          <w:rFonts w:ascii="Verdana" w:hAnsi="Verdana"/>
        </w:rPr>
        <w:t xml:space="preserve">The charge is proposed to be set at £0.50 per pot for commercial fishers and £5 per pot for recreational fishers. </w:t>
      </w:r>
    </w:p>
    <w:p w:rsidR="00026170" w:rsidRDefault="00026170" w:rsidP="00D77435">
      <w:pPr>
        <w:jc w:val="both"/>
        <w:rPr>
          <w:rFonts w:ascii="Verdana" w:hAnsi="Verdana"/>
          <w:u w:val="single"/>
        </w:rPr>
      </w:pPr>
      <w:r>
        <w:rPr>
          <w:rFonts w:ascii="Verdana" w:hAnsi="Verdana"/>
          <w:u w:val="single"/>
        </w:rPr>
        <w:t>What will the impacts of these measures be?</w:t>
      </w:r>
    </w:p>
    <w:p w:rsidR="00026170" w:rsidRDefault="00026170" w:rsidP="00D77435">
      <w:pPr>
        <w:jc w:val="both"/>
        <w:rPr>
          <w:rFonts w:ascii="Verdana" w:hAnsi="Verdana"/>
        </w:rPr>
      </w:pPr>
      <w:r>
        <w:rPr>
          <w:rFonts w:ascii="Verdana" w:hAnsi="Verdana"/>
        </w:rPr>
        <w:t xml:space="preserve">Eastern IFCA is obliged to weigh up the cost/benefits of any measures it introduces. This has been assessed in the associated Impact Assessment which can be viewed by clicking </w:t>
      </w:r>
      <w:hyperlink r:id="rId15" w:history="1">
        <w:r w:rsidRPr="008E3EDB">
          <w:rPr>
            <w:rStyle w:val="Hyperlink"/>
            <w:rFonts w:ascii="Verdana" w:hAnsi="Verdana"/>
          </w:rPr>
          <w:t>here</w:t>
        </w:r>
      </w:hyperlink>
      <w:r>
        <w:rPr>
          <w:rFonts w:ascii="Verdana" w:hAnsi="Verdana"/>
        </w:rPr>
        <w:t xml:space="preserve">.  </w:t>
      </w:r>
    </w:p>
    <w:p w:rsidR="00026170" w:rsidRDefault="00026170" w:rsidP="00D77435">
      <w:pPr>
        <w:jc w:val="both"/>
        <w:rPr>
          <w:rFonts w:ascii="Verdana" w:hAnsi="Verdana"/>
        </w:rPr>
      </w:pPr>
      <w:r>
        <w:rPr>
          <w:rFonts w:ascii="Verdana" w:hAnsi="Verdana"/>
        </w:rPr>
        <w:t xml:space="preserve">The Impact Assessment has determined a cost to the fishing industry in the short term – reducing effort and </w:t>
      </w:r>
      <w:r w:rsidR="00907B81">
        <w:rPr>
          <w:rFonts w:ascii="Verdana" w:hAnsi="Verdana"/>
        </w:rPr>
        <w:t>increasing the m</w:t>
      </w:r>
      <w:r w:rsidR="006A0220">
        <w:rPr>
          <w:rFonts w:ascii="Verdana" w:hAnsi="Verdana"/>
        </w:rPr>
        <w:t>inimum landing size will reduce</w:t>
      </w:r>
      <w:r w:rsidR="00907B81">
        <w:rPr>
          <w:rFonts w:ascii="Verdana" w:hAnsi="Verdana"/>
        </w:rPr>
        <w:t xml:space="preserve"> the amount of whelk landed.  This is thought to be offset in the longer term by a continuous fishery by fishing at sustainable levels.  Historically, the fishery has operated under a ‘boom-and-bust’ mentality which leads to only short-term gains.  By preventing this, and managing the fishery at maximum sustainable yield, the fishery will provide jobs and income for the local economy at a more continuous, stable rate. </w:t>
      </w:r>
    </w:p>
    <w:p w:rsidR="00907B81" w:rsidRDefault="00907B81" w:rsidP="00D77435">
      <w:pPr>
        <w:jc w:val="both"/>
        <w:rPr>
          <w:rFonts w:ascii="Verdana" w:hAnsi="Verdana"/>
          <w:u w:val="single"/>
        </w:rPr>
      </w:pPr>
      <w:r>
        <w:rPr>
          <w:rFonts w:ascii="Verdana" w:hAnsi="Verdana"/>
          <w:u w:val="single"/>
        </w:rPr>
        <w:t>Have your say</w:t>
      </w:r>
    </w:p>
    <w:p w:rsidR="00907B81" w:rsidRPr="00B50640" w:rsidRDefault="00B50640" w:rsidP="00D77435">
      <w:pPr>
        <w:jc w:val="both"/>
        <w:rPr>
          <w:rFonts w:ascii="Verdana" w:hAnsi="Verdana"/>
        </w:rPr>
      </w:pPr>
      <w:r>
        <w:rPr>
          <w:rFonts w:ascii="Verdana" w:hAnsi="Verdana"/>
        </w:rPr>
        <w:t xml:space="preserve">If you have any comments or objections to the measures please use the information at the top of this information to respond by the </w:t>
      </w:r>
      <w:r>
        <w:rPr>
          <w:rFonts w:ascii="Verdana" w:hAnsi="Verdana"/>
          <w:b/>
        </w:rPr>
        <w:t>4</w:t>
      </w:r>
      <w:r w:rsidRPr="00B50640">
        <w:rPr>
          <w:rFonts w:ascii="Verdana" w:hAnsi="Verdana"/>
          <w:b/>
          <w:vertAlign w:val="superscript"/>
        </w:rPr>
        <w:t>th</w:t>
      </w:r>
      <w:r>
        <w:rPr>
          <w:rFonts w:ascii="Verdana" w:hAnsi="Verdana"/>
          <w:b/>
        </w:rPr>
        <w:t xml:space="preserve"> January 2016</w:t>
      </w:r>
      <w:r>
        <w:rPr>
          <w:rFonts w:ascii="Verdana" w:hAnsi="Verdana"/>
        </w:rPr>
        <w:t>.  Please also forward representations to the MMO.</w:t>
      </w:r>
    </w:p>
    <w:sectPr w:rsidR="00907B81" w:rsidRPr="00B50640" w:rsidSect="00A30415">
      <w:pgSz w:w="11906" w:h="16838"/>
      <w:pgMar w:top="1134" w:right="1133"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714C"/>
    <w:multiLevelType w:val="hybridMultilevel"/>
    <w:tmpl w:val="081670A0"/>
    <w:lvl w:ilvl="0" w:tplc="363AA21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15"/>
    <w:rsid w:val="00026170"/>
    <w:rsid w:val="001F1F33"/>
    <w:rsid w:val="002202AA"/>
    <w:rsid w:val="003227FB"/>
    <w:rsid w:val="00384B63"/>
    <w:rsid w:val="00392027"/>
    <w:rsid w:val="003F4BDC"/>
    <w:rsid w:val="00414DA0"/>
    <w:rsid w:val="00633A12"/>
    <w:rsid w:val="00645810"/>
    <w:rsid w:val="006A0220"/>
    <w:rsid w:val="00830131"/>
    <w:rsid w:val="00862AFF"/>
    <w:rsid w:val="008E3EDB"/>
    <w:rsid w:val="00907B81"/>
    <w:rsid w:val="00A30415"/>
    <w:rsid w:val="00AD2F98"/>
    <w:rsid w:val="00B50640"/>
    <w:rsid w:val="00D77435"/>
    <w:rsid w:val="00F4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15"/>
    <w:rPr>
      <w:rFonts w:ascii="Tahoma" w:hAnsi="Tahoma" w:cs="Tahoma"/>
      <w:sz w:val="16"/>
      <w:szCs w:val="16"/>
    </w:rPr>
  </w:style>
  <w:style w:type="character" w:styleId="Hyperlink">
    <w:name w:val="Hyperlink"/>
    <w:basedOn w:val="DefaultParagraphFont"/>
    <w:uiPriority w:val="99"/>
    <w:unhideWhenUsed/>
    <w:rsid w:val="00A30415"/>
    <w:rPr>
      <w:color w:val="0000FF" w:themeColor="hyperlink"/>
      <w:u w:val="single"/>
    </w:rPr>
  </w:style>
  <w:style w:type="paragraph" w:styleId="ListParagraph">
    <w:name w:val="List Paragraph"/>
    <w:basedOn w:val="Normal"/>
    <w:uiPriority w:val="34"/>
    <w:qFormat/>
    <w:rsid w:val="00392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15"/>
    <w:rPr>
      <w:rFonts w:ascii="Tahoma" w:hAnsi="Tahoma" w:cs="Tahoma"/>
      <w:sz w:val="16"/>
      <w:szCs w:val="16"/>
    </w:rPr>
  </w:style>
  <w:style w:type="character" w:styleId="Hyperlink">
    <w:name w:val="Hyperlink"/>
    <w:basedOn w:val="DefaultParagraphFont"/>
    <w:uiPriority w:val="99"/>
    <w:unhideWhenUsed/>
    <w:rsid w:val="00A30415"/>
    <w:rPr>
      <w:color w:val="0000FF" w:themeColor="hyperlink"/>
      <w:u w:val="single"/>
    </w:rPr>
  </w:style>
  <w:style w:type="paragraph" w:styleId="ListParagraph">
    <w:name w:val="List Paragraph"/>
    <w:basedOn w:val="Normal"/>
    <w:uiPriority w:val="34"/>
    <w:qFormat/>
    <w:rsid w:val="0039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astern-ifca.gcsx.gov.uk" TargetMode="External"/><Relationship Id="rId13" Type="http://schemas.openxmlformats.org/officeDocument/2006/relationships/hyperlink" Target="Whelk%20Byelaw%20Ver%207.pdf" TargetMode="External"/><Relationship Id="rId3" Type="http://schemas.microsoft.com/office/2007/relationships/stylesWithEffects" Target="stylesWithEffects.xml"/><Relationship Id="rId7" Type="http://schemas.openxmlformats.org/officeDocument/2006/relationships/hyperlink" Target="Whelk%20Questionnaire.docx" TargetMode="External"/><Relationship Id="rId12" Type="http://schemas.openxmlformats.org/officeDocument/2006/relationships/hyperlink" Target="Permit%20Cond%20Notice%20Ver%20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Permitting%20Byelaw%20Ver%2010.pdf" TargetMode="External"/><Relationship Id="rId5" Type="http://schemas.openxmlformats.org/officeDocument/2006/relationships/webSettings" Target="webSettings.xml"/><Relationship Id="rId15" Type="http://schemas.openxmlformats.org/officeDocument/2006/relationships/hyperlink" Target="Whelk%20Draft%20IA.pdf" TargetMode="External"/><Relationship Id="rId10" Type="http://schemas.openxmlformats.org/officeDocument/2006/relationships/hyperlink" Target="mailto:IFCAbyelaws@marinemanagement.org" TargetMode="External"/><Relationship Id="rId4" Type="http://schemas.openxmlformats.org/officeDocument/2006/relationships/settings" Target="settings.xml"/><Relationship Id="rId9" Type="http://schemas.openxmlformats.org/officeDocument/2006/relationships/hyperlink" Target="mailto:mail@eastern-ifca.gcsx.gov.uk" TargetMode="External"/><Relationship Id="rId14" Type="http://schemas.openxmlformats.org/officeDocument/2006/relationships/hyperlink" Target="Whelk%20Draft%20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Hammond, Jodi</cp:lastModifiedBy>
  <cp:revision>4</cp:revision>
  <dcterms:created xsi:type="dcterms:W3CDTF">2015-11-20T12:57:00Z</dcterms:created>
  <dcterms:modified xsi:type="dcterms:W3CDTF">2015-11-20T13:41:00Z</dcterms:modified>
</cp:coreProperties>
</file>