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8FB9" w14:textId="549AFEA2" w:rsidR="00AC2A8C" w:rsidRDefault="00AC2A8C">
      <w:pPr>
        <w:rPr>
          <w:b/>
        </w:rPr>
      </w:pPr>
      <w:r>
        <w:rPr>
          <w:b/>
        </w:rPr>
        <w:t xml:space="preserve">Eastern IFCA management measures </w:t>
      </w:r>
      <w:r w:rsidR="00F11543">
        <w:rPr>
          <w:b/>
        </w:rPr>
        <w:t>tracker</w:t>
      </w:r>
    </w:p>
    <w:p w14:paraId="60059F32" w14:textId="5F85FC63" w:rsidR="0033763D" w:rsidRPr="0033763D" w:rsidRDefault="0033763D">
      <w:pPr>
        <w:rPr>
          <w:i/>
        </w:rPr>
      </w:pPr>
      <w:r>
        <w:rPr>
          <w:i/>
        </w:rPr>
        <w:t xml:space="preserve">Opportunities to input to Eastern IFCA management </w:t>
      </w:r>
      <w:r w:rsidR="001E7FE2">
        <w:rPr>
          <w:i/>
        </w:rPr>
        <w:t xml:space="preserve">measures development </w:t>
      </w:r>
    </w:p>
    <w:p w14:paraId="1ED05AAA" w14:textId="10BE2CB0" w:rsidR="00AC2A8C" w:rsidRDefault="009630C6">
      <w:r>
        <w:t xml:space="preserve">Inshore Fisheries &amp; Conservation Authorities have a shared vision for healthy seas, sustainable fisheries and a viable industry. In delivering this vision for the eastern district, </w:t>
      </w:r>
      <w:r w:rsidR="00AC2A8C">
        <w:t xml:space="preserve">Eastern IFCA is considering and developing management measures in relation to a range of different fisheries and </w:t>
      </w:r>
      <w:r w:rsidR="0062776C">
        <w:t>drivers</w:t>
      </w:r>
      <w:r w:rsidR="00AC2A8C">
        <w:t xml:space="preserve">.  Dialogue with stakeholders is crucial to this work.  Information is gathered to ensure that measures are as effective as possible and </w:t>
      </w:r>
      <w:r w:rsidR="0062776C">
        <w:t xml:space="preserve">so </w:t>
      </w:r>
      <w:r w:rsidR="00AC2A8C">
        <w:t xml:space="preserve">that impacts and benefits are fully explored and </w:t>
      </w:r>
      <w:r w:rsidR="0062776C">
        <w:t>understood</w:t>
      </w:r>
      <w:r w:rsidR="00AC2A8C">
        <w:t xml:space="preserve">.  Feedback from all stakeholders is appreciated and valued.  </w:t>
      </w:r>
    </w:p>
    <w:p w14:paraId="63C02210" w14:textId="24A1594B" w:rsidR="007B7175" w:rsidRDefault="00AC2A8C">
      <w:r>
        <w:t xml:space="preserve">Below is an overview of work Eastern IFCA is </w:t>
      </w:r>
      <w:r w:rsidR="0062776C">
        <w:t xml:space="preserve">currently </w:t>
      </w:r>
      <w:r>
        <w:t>undertaking</w:t>
      </w:r>
      <w:r w:rsidR="0062776C">
        <w:t xml:space="preserve"> or planning for the near future</w:t>
      </w:r>
      <w:r>
        <w:t xml:space="preserve">.  </w:t>
      </w:r>
      <w:r w:rsidR="0062776C">
        <w:t xml:space="preserve">We are sharing this programme to keep stakeholders informed and to encourage engagement </w:t>
      </w:r>
      <w:r>
        <w:t xml:space="preserve">with Eastern IFCA on these matters.  </w:t>
      </w:r>
      <w:r w:rsidR="009630C6">
        <w:t xml:space="preserve">The </w:t>
      </w:r>
      <w:r w:rsidR="00F11543">
        <w:t>tracker includes links to more information</w:t>
      </w:r>
      <w:r w:rsidR="00690978">
        <w:t xml:space="preserve"> if available</w:t>
      </w:r>
      <w:r w:rsidR="0033763D">
        <w:t xml:space="preserve">, </w:t>
      </w:r>
      <w:r w:rsidR="00F11543">
        <w:t>including how to participate</w:t>
      </w:r>
      <w:r w:rsidR="00483D5E">
        <w:t xml:space="preserve"> when live</w:t>
      </w:r>
      <w:r>
        <w:t xml:space="preserve">. Eastern IFCA will update this page on a </w:t>
      </w:r>
      <w:r w:rsidR="00F11543">
        <w:t xml:space="preserve">regular </w:t>
      </w:r>
      <w:r>
        <w:t>basis.</w:t>
      </w:r>
      <w:r w:rsidR="00E03D56">
        <w:t xml:space="preserve">  </w:t>
      </w:r>
    </w:p>
    <w:p w14:paraId="61C69579" w14:textId="1A6136E0" w:rsidR="00E03D56" w:rsidRDefault="00E03D56"/>
    <w:p w14:paraId="1E82E2C7" w14:textId="5F27B1EF" w:rsidR="00E03D56" w:rsidRDefault="00E03D56">
      <w:pPr>
        <w:rPr>
          <w:i/>
        </w:rPr>
      </w:pPr>
      <w:r>
        <w:rPr>
          <w:i/>
        </w:rPr>
        <w:t xml:space="preserve">Please note – this is a live tracker and is subject to change.  </w:t>
      </w:r>
    </w:p>
    <w:p w14:paraId="10E208FA" w14:textId="5357D821" w:rsidR="00ED011D" w:rsidRDefault="00ED011D">
      <w:pPr>
        <w:rPr>
          <w:i/>
        </w:rPr>
      </w:pPr>
      <w:r>
        <w:rPr>
          <w:i/>
        </w:rPr>
        <w:t xml:space="preserve">Last update – </w:t>
      </w:r>
      <w:r w:rsidR="00690978">
        <w:rPr>
          <w:i/>
        </w:rPr>
        <w:t>1</w:t>
      </w:r>
      <w:r w:rsidR="00572E8E">
        <w:rPr>
          <w:i/>
        </w:rPr>
        <w:t>0</w:t>
      </w:r>
      <w:r w:rsidR="00690978">
        <w:rPr>
          <w:i/>
        </w:rPr>
        <w:t>/</w:t>
      </w:r>
      <w:r w:rsidR="00572E8E">
        <w:rPr>
          <w:i/>
        </w:rPr>
        <w:t>10</w:t>
      </w:r>
      <w:bookmarkStart w:id="0" w:name="_GoBack"/>
      <w:bookmarkEnd w:id="0"/>
      <w:r w:rsidR="00690978">
        <w:rPr>
          <w:i/>
        </w:rPr>
        <w:t>/2019</w:t>
      </w: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6948CA" w14:paraId="626BE559" w14:textId="77777777" w:rsidTr="006948CA">
        <w:tc>
          <w:tcPr>
            <w:tcW w:w="70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B6D2FB" w14:textId="77777777" w:rsidR="006948CA" w:rsidRDefault="006948CA">
            <w:pPr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8A4ED" w14:textId="38B63143" w:rsidR="006948CA" w:rsidRPr="006948CA" w:rsidRDefault="006948CA">
            <w:r>
              <w:t>Consultation is open</w:t>
            </w:r>
          </w:p>
        </w:tc>
      </w:tr>
      <w:tr w:rsidR="006948CA" w14:paraId="1607D33A" w14:textId="77777777" w:rsidTr="006948CA">
        <w:tc>
          <w:tcPr>
            <w:tcW w:w="704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04A6B96" w14:textId="77777777" w:rsidR="006948CA" w:rsidRDefault="006948CA">
            <w:pPr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34AF" w14:textId="6882A394" w:rsidR="006948CA" w:rsidRPr="006948CA" w:rsidRDefault="006948CA">
            <w:r>
              <w:t xml:space="preserve">Consultation is closed </w:t>
            </w:r>
          </w:p>
        </w:tc>
      </w:tr>
    </w:tbl>
    <w:p w14:paraId="3A32F6E9" w14:textId="385303A8" w:rsidR="00AC2A8C" w:rsidRDefault="00AC2A8C">
      <w: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14"/>
        <w:gridCol w:w="3507"/>
        <w:gridCol w:w="2118"/>
        <w:gridCol w:w="1479"/>
        <w:gridCol w:w="4394"/>
      </w:tblGrid>
      <w:tr w:rsidR="006948CA" w14:paraId="6F6745FC" w14:textId="0E5FF849" w:rsidTr="00402F32">
        <w:tc>
          <w:tcPr>
            <w:tcW w:w="2814" w:type="dxa"/>
            <w:shd w:val="clear" w:color="auto" w:fill="EDEDED" w:themeFill="accent3" w:themeFillTint="33"/>
          </w:tcPr>
          <w:p w14:paraId="5037299A" w14:textId="77777777" w:rsidR="00690978" w:rsidRPr="00AC2A8C" w:rsidRDefault="00690978">
            <w:pPr>
              <w:rPr>
                <w:b/>
              </w:rPr>
            </w:pPr>
            <w:r w:rsidRPr="00AC2A8C">
              <w:rPr>
                <w:b/>
              </w:rPr>
              <w:t xml:space="preserve">Work stream </w:t>
            </w:r>
          </w:p>
        </w:tc>
        <w:tc>
          <w:tcPr>
            <w:tcW w:w="3507" w:type="dxa"/>
            <w:shd w:val="clear" w:color="auto" w:fill="EDEDED" w:themeFill="accent3" w:themeFillTint="33"/>
          </w:tcPr>
          <w:p w14:paraId="6F43D46E" w14:textId="527CA2DA" w:rsidR="00690978" w:rsidRDefault="00690978">
            <w:pPr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2118" w:type="dxa"/>
            <w:shd w:val="clear" w:color="auto" w:fill="EDEDED" w:themeFill="accent3" w:themeFillTint="33"/>
          </w:tcPr>
          <w:p w14:paraId="183977D9" w14:textId="77777777" w:rsidR="00690978" w:rsidRPr="00AC2A8C" w:rsidRDefault="00690978">
            <w:pPr>
              <w:rPr>
                <w:b/>
              </w:rPr>
            </w:pPr>
            <w:r>
              <w:rPr>
                <w:b/>
              </w:rPr>
              <w:t xml:space="preserve">Phase / </w:t>
            </w:r>
            <w:r w:rsidRPr="00AC2A8C">
              <w:rPr>
                <w:b/>
              </w:rPr>
              <w:t>Status</w:t>
            </w:r>
          </w:p>
        </w:tc>
        <w:tc>
          <w:tcPr>
            <w:tcW w:w="1479" w:type="dxa"/>
            <w:shd w:val="clear" w:color="auto" w:fill="EDEDED" w:themeFill="accent3" w:themeFillTint="33"/>
          </w:tcPr>
          <w:p w14:paraId="6FB78B48" w14:textId="77777777" w:rsidR="00690978" w:rsidRPr="00AC2A8C" w:rsidRDefault="00690978">
            <w:pPr>
              <w:rPr>
                <w:b/>
              </w:rPr>
            </w:pPr>
            <w:r>
              <w:rPr>
                <w:b/>
              </w:rPr>
              <w:t>Current phase ending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12C4CE0E" w14:textId="61368D80" w:rsidR="00690978" w:rsidRDefault="00690978">
            <w:pPr>
              <w:rPr>
                <w:b/>
              </w:rPr>
            </w:pPr>
            <w:r>
              <w:rPr>
                <w:b/>
              </w:rPr>
              <w:t>Next step</w:t>
            </w:r>
            <w:r w:rsidR="00692F2B">
              <w:rPr>
                <w:b/>
              </w:rPr>
              <w:t>(</w:t>
            </w:r>
            <w:r>
              <w:rPr>
                <w:b/>
              </w:rPr>
              <w:t>s</w:t>
            </w:r>
            <w:r w:rsidR="00692F2B">
              <w:rPr>
                <w:b/>
              </w:rPr>
              <w:t>)</w:t>
            </w:r>
          </w:p>
        </w:tc>
      </w:tr>
      <w:tr w:rsidR="00692F2B" w14:paraId="16AF4D97" w14:textId="77777777" w:rsidTr="00692F2B">
        <w:tc>
          <w:tcPr>
            <w:tcW w:w="2814" w:type="dxa"/>
          </w:tcPr>
          <w:p w14:paraId="50EDD48A" w14:textId="338F4BA4" w:rsidR="00692F2B" w:rsidRPr="000A6621" w:rsidRDefault="00692F2B" w:rsidP="00692F2B">
            <w:pPr>
              <w:rPr>
                <w:b/>
              </w:rPr>
            </w:pPr>
            <w:r>
              <w:t xml:space="preserve">Potting Fisheries management </w:t>
            </w:r>
          </w:p>
        </w:tc>
        <w:tc>
          <w:tcPr>
            <w:tcW w:w="3507" w:type="dxa"/>
          </w:tcPr>
          <w:p w14:paraId="1B55AA8C" w14:textId="77777777" w:rsidR="00692F2B" w:rsidRDefault="00692F2B" w:rsidP="00692F2B">
            <w:r>
              <w:t xml:space="preserve">Development of management measures for crab and lobster fisheries sustainability </w:t>
            </w:r>
          </w:p>
          <w:p w14:paraId="407C79C7" w14:textId="77777777" w:rsidR="00692F2B" w:rsidRDefault="00692F2B" w:rsidP="00692F2B"/>
          <w:p w14:paraId="025894A0" w14:textId="77777777" w:rsidR="00692F2B" w:rsidRDefault="00692F2B" w:rsidP="00692F2B">
            <w:r>
              <w:t xml:space="preserve">Review of the wording of the Whelk Permit Byelaw 2016 </w:t>
            </w:r>
            <w:r>
              <w:lastRenderedPageBreak/>
              <w:t>including the annual allocation of permit tags</w:t>
            </w:r>
          </w:p>
          <w:p w14:paraId="1B4A5CA0" w14:textId="77777777" w:rsidR="00692F2B" w:rsidRDefault="00692F2B" w:rsidP="00692F2B"/>
          <w:p w14:paraId="0ED016D6" w14:textId="77777777" w:rsidR="00692F2B" w:rsidRDefault="00692F2B" w:rsidP="00692F2B">
            <w:r>
              <w:t>Evidence gathering to inform assessment of Cromer Shoal Chalk Bed MCZ</w:t>
            </w:r>
          </w:p>
          <w:p w14:paraId="6008B667" w14:textId="77777777" w:rsidR="00692F2B" w:rsidRDefault="00692F2B" w:rsidP="00692F2B"/>
          <w:p w14:paraId="494A8321" w14:textId="77777777" w:rsidR="00692F2B" w:rsidRDefault="00572E8E" w:rsidP="00692F2B">
            <w:hyperlink r:id="rId5" w:history="1">
              <w:r w:rsidR="00692F2B" w:rsidRPr="00BF7661">
                <w:rPr>
                  <w:rStyle w:val="Hyperlink"/>
                </w:rPr>
                <w:t>Further Information</w:t>
              </w:r>
            </w:hyperlink>
          </w:p>
          <w:p w14:paraId="4EFF8155" w14:textId="77777777" w:rsidR="00692F2B" w:rsidRDefault="00692F2B" w:rsidP="00692F2B"/>
        </w:tc>
        <w:tc>
          <w:tcPr>
            <w:tcW w:w="2118" w:type="dxa"/>
            <w:shd w:val="clear" w:color="auto" w:fill="C5E0B3" w:themeFill="accent6" w:themeFillTint="66"/>
          </w:tcPr>
          <w:p w14:paraId="3B11737E" w14:textId="4A95708A" w:rsidR="00692F2B" w:rsidRDefault="00692F2B" w:rsidP="00692F2B">
            <w:r>
              <w:lastRenderedPageBreak/>
              <w:t xml:space="preserve">Informal consultation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7888BE8" w14:textId="620B3905" w:rsidR="00692F2B" w:rsidRDefault="00692F2B" w:rsidP="00692F2B">
            <w:r>
              <w:t>Extended – closure date TBC (previously set to close on 1</w:t>
            </w:r>
            <w:r w:rsidRPr="00EE5FD2">
              <w:rPr>
                <w:vertAlign w:val="superscript"/>
              </w:rPr>
              <w:t>st</w:t>
            </w:r>
            <w:r>
              <w:t xml:space="preserve"> </w:t>
            </w:r>
            <w:r>
              <w:lastRenderedPageBreak/>
              <w:t xml:space="preserve">October 2019) 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63975B51" w14:textId="77777777" w:rsidR="00692F2B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Continue engagement into winter period</w:t>
            </w:r>
          </w:p>
          <w:p w14:paraId="3C6C02AC" w14:textId="40971ED9" w:rsidR="00692F2B" w:rsidRDefault="00692F2B" w:rsidP="00692F2B">
            <w:pPr>
              <w:rPr>
                <w:i/>
              </w:rPr>
            </w:pPr>
            <w:r>
              <w:t>Seek to develop proposals during early 2020</w:t>
            </w:r>
          </w:p>
        </w:tc>
      </w:tr>
      <w:tr w:rsidR="00692F2B" w14:paraId="464DDDBC" w14:textId="77777777" w:rsidTr="00692F2B">
        <w:tc>
          <w:tcPr>
            <w:tcW w:w="2814" w:type="dxa"/>
          </w:tcPr>
          <w:p w14:paraId="2A61DB50" w14:textId="59F2AD7F" w:rsidR="00692F2B" w:rsidRPr="000A6621" w:rsidRDefault="00692F2B">
            <w:pPr>
              <w:rPr>
                <w:b/>
              </w:rPr>
            </w:pPr>
            <w:r>
              <w:rPr>
                <w:b/>
              </w:rPr>
              <w:t xml:space="preserve">Closed Area Byelaw 2020 </w:t>
            </w:r>
            <w:r>
              <w:t>(</w:t>
            </w:r>
            <w:r w:rsidRPr="00C5640F">
              <w:rPr>
                <w:i/>
              </w:rPr>
              <w:t>Sab</w:t>
            </w:r>
            <w:r>
              <w:rPr>
                <w:i/>
              </w:rPr>
              <w:t xml:space="preserve">ellaria spinulosa </w:t>
            </w:r>
            <w:r>
              <w:t>(Ross worm) reef off the Lincolnshire coast and an area of hard sea bed (referred to as circalittoral rock) in The Wash)</w:t>
            </w:r>
          </w:p>
        </w:tc>
        <w:tc>
          <w:tcPr>
            <w:tcW w:w="3507" w:type="dxa"/>
          </w:tcPr>
          <w:p w14:paraId="3C0502DD" w14:textId="77777777" w:rsidR="00692F2B" w:rsidRDefault="00692F2B">
            <w:r>
              <w:t xml:space="preserve">Development of management measures in the form of spatial closures to protect vulnerable habitats within Marine Protected Areas.  </w:t>
            </w:r>
          </w:p>
          <w:p w14:paraId="1A9EEE19" w14:textId="77777777" w:rsidR="00692F2B" w:rsidRDefault="00692F2B"/>
          <w:p w14:paraId="6DF5ABEC" w14:textId="77777777" w:rsidR="00692F2B" w:rsidRDefault="00692F2B">
            <w:r>
              <w:t xml:space="preserve">Closures will relate to use of bottom towed gear. </w:t>
            </w:r>
          </w:p>
          <w:p w14:paraId="72E6BE0A" w14:textId="77777777" w:rsidR="00692F2B" w:rsidRDefault="00692F2B"/>
          <w:p w14:paraId="07274DA1" w14:textId="7E102027" w:rsidR="00692F2B" w:rsidRDefault="00572E8E">
            <w:hyperlink r:id="rId6" w:history="1">
              <w:commentRangeStart w:id="1"/>
              <w:r w:rsidR="00692F2B" w:rsidRPr="001B20BC">
                <w:rPr>
                  <w:rStyle w:val="Hyperlink"/>
                </w:rPr>
                <w:t xml:space="preserve">Further information </w:t>
              </w:r>
            </w:hyperlink>
            <w:r w:rsidR="00692F2B">
              <w:t xml:space="preserve"> </w:t>
            </w:r>
            <w:commentRangeEnd w:id="1"/>
            <w:r w:rsidR="00692F2B">
              <w:rPr>
                <w:rStyle w:val="CommentReference"/>
              </w:rPr>
              <w:commentReference w:id="1"/>
            </w:r>
          </w:p>
        </w:tc>
        <w:tc>
          <w:tcPr>
            <w:tcW w:w="2118" w:type="dxa"/>
            <w:shd w:val="clear" w:color="auto" w:fill="C5E0B3" w:themeFill="accent6" w:themeFillTint="66"/>
          </w:tcPr>
          <w:p w14:paraId="09D9CA7F" w14:textId="3466E894" w:rsidR="00692F2B" w:rsidRDefault="00692F2B">
            <w:r>
              <w:t xml:space="preserve">Informal consultation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033A15AD" w14:textId="33CD3B57" w:rsidR="00692F2B" w:rsidRDefault="00DD7441">
            <w:r>
              <w:rPr>
                <w:b/>
                <w:bCs/>
              </w:rPr>
              <w:t xml:space="preserve">Extended - </w:t>
            </w:r>
            <w:r>
              <w:t>4</w:t>
            </w:r>
            <w:r w:rsidR="00692F2B" w:rsidRPr="00692F2B">
              <w:rPr>
                <w:vertAlign w:val="superscript"/>
              </w:rPr>
              <w:t>th</w:t>
            </w:r>
            <w:r w:rsidR="00692F2B">
              <w:t xml:space="preserve"> </w:t>
            </w:r>
            <w:r>
              <w:t>November</w:t>
            </w:r>
            <w:r w:rsidR="00692F2B">
              <w:t xml:space="preserve"> 2019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6FBBF36F" w14:textId="77777777" w:rsidR="00692F2B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>Gather evidence in relation to fishing activity within areas identified as potentially needing management</w:t>
            </w:r>
          </w:p>
          <w:p w14:paraId="665E2F6A" w14:textId="68082F73" w:rsidR="00692F2B" w:rsidRPr="00692F2B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appropriate management measures taking into account information from informal consultation </w:t>
            </w:r>
          </w:p>
        </w:tc>
      </w:tr>
      <w:tr w:rsidR="000A6621" w14:paraId="5B7A3D78" w14:textId="77777777" w:rsidTr="00DD7441">
        <w:tc>
          <w:tcPr>
            <w:tcW w:w="2814" w:type="dxa"/>
          </w:tcPr>
          <w:p w14:paraId="66EAB0DA" w14:textId="06614050" w:rsidR="000A6621" w:rsidRPr="000A6621" w:rsidRDefault="000A6621">
            <w:r w:rsidRPr="000A6621">
              <w:rPr>
                <w:b/>
              </w:rPr>
              <w:t xml:space="preserve">Fish, mollusc and crustacea minimum size </w:t>
            </w:r>
            <w:r>
              <w:rPr>
                <w:b/>
              </w:rPr>
              <w:t>E</w:t>
            </w:r>
            <w:r w:rsidRPr="000A6621">
              <w:rPr>
                <w:b/>
              </w:rPr>
              <w:t xml:space="preserve">mergency </w:t>
            </w:r>
            <w:r>
              <w:rPr>
                <w:b/>
              </w:rPr>
              <w:t>B</w:t>
            </w:r>
            <w:r w:rsidRPr="000A6621">
              <w:rPr>
                <w:b/>
              </w:rPr>
              <w:t>yelaw 2019</w:t>
            </w:r>
            <w:r>
              <w:rPr>
                <w:b/>
              </w:rPr>
              <w:t xml:space="preserve"> – </w:t>
            </w:r>
            <w:r>
              <w:t xml:space="preserve">Replacement of the Emergency Byelaw as necessary </w:t>
            </w:r>
          </w:p>
        </w:tc>
        <w:tc>
          <w:tcPr>
            <w:tcW w:w="3507" w:type="dxa"/>
          </w:tcPr>
          <w:p w14:paraId="6F3AF73C" w14:textId="14B4B4DD" w:rsidR="000A6621" w:rsidRDefault="000A6621">
            <w:r>
              <w:t xml:space="preserve">To </w:t>
            </w:r>
            <w:r w:rsidR="00DD7441">
              <w:t>develop a byelaw</w:t>
            </w:r>
            <w:r>
              <w:t xml:space="preserve"> replacing the </w:t>
            </w:r>
            <w:r w:rsidRPr="000A6621">
              <w:rPr>
                <w:i/>
              </w:rPr>
              <w:t>Fish, mollusc and crustacea minimum size Emergency Byelaw 2019</w:t>
            </w:r>
            <w:r>
              <w:t xml:space="preserve">. </w:t>
            </w:r>
          </w:p>
          <w:p w14:paraId="5B093678" w14:textId="77777777" w:rsidR="000A6621" w:rsidRDefault="000A6621"/>
          <w:p w14:paraId="44283B82" w14:textId="3E1BD134" w:rsidR="000A6621" w:rsidRDefault="000A6621">
            <w:r w:rsidRPr="00DD7441">
              <w:t>Further Information</w:t>
            </w:r>
            <w:r>
              <w:t xml:space="preserve"> </w:t>
            </w:r>
          </w:p>
          <w:p w14:paraId="288DAD36" w14:textId="1AD49DD8" w:rsidR="00DD7441" w:rsidRDefault="00DD7441" w:rsidP="00DD7441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Pr="00DD7441">
                <w:rPr>
                  <w:rStyle w:val="Hyperlink"/>
                </w:rPr>
                <w:t>Emergency Byelaw</w:t>
              </w:r>
            </w:hyperlink>
          </w:p>
          <w:p w14:paraId="548F7C3A" w14:textId="2B8D5227" w:rsidR="00DD7441" w:rsidRPr="000A6621" w:rsidRDefault="00DD7441" w:rsidP="00DD7441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Pr="00DD7441">
                <w:rPr>
                  <w:rStyle w:val="Hyperlink"/>
                </w:rPr>
                <w:t>Informal consultation</w:t>
              </w:r>
            </w:hyperlink>
            <w:r>
              <w:t xml:space="preserve"> </w:t>
            </w:r>
          </w:p>
        </w:tc>
        <w:tc>
          <w:tcPr>
            <w:tcW w:w="2118" w:type="dxa"/>
            <w:shd w:val="clear" w:color="auto" w:fill="C5E0B3" w:themeFill="accent6" w:themeFillTint="66"/>
          </w:tcPr>
          <w:p w14:paraId="1F9D9F87" w14:textId="460C6D56" w:rsidR="000A6621" w:rsidRDefault="00DD7441">
            <w:r>
              <w:t xml:space="preserve">Informal consultation 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7CFDCB71" w14:textId="7C5278B5" w:rsidR="000A6621" w:rsidRDefault="00DD7441">
            <w:r>
              <w:t>28</w:t>
            </w:r>
            <w:r w:rsidRPr="00DD7441">
              <w:rPr>
                <w:vertAlign w:val="superscript"/>
              </w:rPr>
              <w:t>th</w:t>
            </w:r>
            <w:r>
              <w:t xml:space="preserve"> October 2019 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7EC8BD40" w14:textId="77777777" w:rsidR="000A6621" w:rsidRDefault="000A6621" w:rsidP="00690978">
            <w:pPr>
              <w:pStyle w:val="ListParagraph"/>
              <w:numPr>
                <w:ilvl w:val="0"/>
                <w:numId w:val="2"/>
              </w:numPr>
            </w:pPr>
            <w:r>
              <w:t xml:space="preserve">Informal consultation </w:t>
            </w:r>
          </w:p>
          <w:p w14:paraId="1E88141F" w14:textId="58D9D490" w:rsidR="000A6621" w:rsidRDefault="000A6621" w:rsidP="00690978">
            <w:pPr>
              <w:pStyle w:val="ListParagraph"/>
              <w:numPr>
                <w:ilvl w:val="0"/>
                <w:numId w:val="2"/>
              </w:numPr>
            </w:pPr>
            <w:r>
              <w:t>Development of replacement byelaw</w:t>
            </w:r>
          </w:p>
          <w:p w14:paraId="2F72A03E" w14:textId="04DF41F1" w:rsidR="000A6621" w:rsidRDefault="000A6621" w:rsidP="00692F2B">
            <w:r>
              <w:t xml:space="preserve"> </w:t>
            </w:r>
          </w:p>
        </w:tc>
      </w:tr>
      <w:tr w:rsidR="006948CA" w14:paraId="5F6BE9EC" w14:textId="2321B825" w:rsidTr="00402F32">
        <w:tc>
          <w:tcPr>
            <w:tcW w:w="2814" w:type="dxa"/>
          </w:tcPr>
          <w:p w14:paraId="5A178876" w14:textId="30913977" w:rsidR="00690978" w:rsidRDefault="00690978">
            <w:r>
              <w:rPr>
                <w:b/>
              </w:rPr>
              <w:t xml:space="preserve">Marine Protected Area Byelaw 2019 - </w:t>
            </w:r>
            <w:r>
              <w:t xml:space="preserve">New restricted areas (bottom-towed gear) off </w:t>
            </w:r>
            <w:r>
              <w:lastRenderedPageBreak/>
              <w:t xml:space="preserve">the north and east Norfolk coast: </w:t>
            </w:r>
          </w:p>
          <w:p w14:paraId="53DAF3A1" w14:textId="634C769E" w:rsidR="00690978" w:rsidRDefault="00690978" w:rsidP="004E34CA">
            <w:pPr>
              <w:pStyle w:val="ListParagraph"/>
              <w:numPr>
                <w:ilvl w:val="0"/>
                <w:numId w:val="2"/>
              </w:numPr>
            </w:pPr>
            <w:r>
              <w:t>Chalk reef</w:t>
            </w:r>
          </w:p>
          <w:p w14:paraId="11C13C63" w14:textId="365EE8D7" w:rsidR="00690978" w:rsidRDefault="00690978" w:rsidP="004E34CA">
            <w:pPr>
              <w:pStyle w:val="ListParagraph"/>
              <w:numPr>
                <w:ilvl w:val="0"/>
                <w:numId w:val="2"/>
              </w:numPr>
            </w:pPr>
            <w:r w:rsidRPr="004E34CA">
              <w:rPr>
                <w:i/>
              </w:rPr>
              <w:t>Sabellaria</w:t>
            </w:r>
            <w:r>
              <w:t xml:space="preserve"> reef </w:t>
            </w:r>
          </w:p>
        </w:tc>
        <w:tc>
          <w:tcPr>
            <w:tcW w:w="3507" w:type="dxa"/>
          </w:tcPr>
          <w:p w14:paraId="4DE0C78E" w14:textId="3D0BB1C1" w:rsidR="00690978" w:rsidRDefault="00690978">
            <w:r>
              <w:lastRenderedPageBreak/>
              <w:t xml:space="preserve">Development of management in the form of areas closed to bottom-towed gear.  Includes an additional closure between Weybourne and Happisburgh </w:t>
            </w:r>
            <w:r>
              <w:lastRenderedPageBreak/>
              <w:t xml:space="preserve">and three smaller closures off the east Norfolk coast. </w:t>
            </w:r>
          </w:p>
          <w:p w14:paraId="1BF53F17" w14:textId="77777777" w:rsidR="00690978" w:rsidRDefault="00690978"/>
          <w:p w14:paraId="3D364DB9" w14:textId="7B4294D4" w:rsidR="00690978" w:rsidRDefault="00572E8E">
            <w:hyperlink r:id="rId12" w:history="1">
              <w:r w:rsidR="00690978" w:rsidRPr="00B03BA7">
                <w:rPr>
                  <w:rStyle w:val="Hyperlink"/>
                </w:rPr>
                <w:t>Further Information</w:t>
              </w:r>
            </w:hyperlink>
            <w:r w:rsidR="00690978">
              <w:t xml:space="preserve"> </w:t>
            </w:r>
            <w:r w:rsidR="000A6621">
              <w:t xml:space="preserve">on consultation </w:t>
            </w:r>
          </w:p>
        </w:tc>
        <w:tc>
          <w:tcPr>
            <w:tcW w:w="2118" w:type="dxa"/>
            <w:shd w:val="clear" w:color="auto" w:fill="FFE599" w:themeFill="accent4" w:themeFillTint="66"/>
          </w:tcPr>
          <w:p w14:paraId="67508F0B" w14:textId="5AAFE9AD" w:rsidR="00690978" w:rsidRDefault="00690978">
            <w:r>
              <w:lastRenderedPageBreak/>
              <w:t>Consideration of formal consultation results –</w:t>
            </w:r>
            <w:r w:rsidR="006948CA">
              <w:t xml:space="preserve"> </w:t>
            </w:r>
            <w:r w:rsidRPr="006948CA">
              <w:rPr>
                <w:i/>
              </w:rPr>
              <w:t xml:space="preserve">formal consultation has </w:t>
            </w:r>
            <w:r w:rsidRPr="006948CA">
              <w:rPr>
                <w:i/>
              </w:rPr>
              <w:lastRenderedPageBreak/>
              <w:t>ended (22/07/2019)</w:t>
            </w:r>
            <w:r>
              <w:t xml:space="preserve"> 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188C74DC" w14:textId="7AE62460" w:rsidR="00690978" w:rsidRDefault="00690978">
            <w:r>
              <w:lastRenderedPageBreak/>
              <w:t xml:space="preserve">October 2019  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3881AD70" w14:textId="77777777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t xml:space="preserve">To consider feedback from formal consultation and make final decision regarding the byelaw. </w:t>
            </w:r>
          </w:p>
          <w:p w14:paraId="5965E383" w14:textId="1D28F1DA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Eastern IFCA to respond to all respondents regarding final decision. </w:t>
            </w:r>
          </w:p>
          <w:p w14:paraId="5FA21ABD" w14:textId="3B733DC4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t xml:space="preserve">Eastern IFCA to submit final version of byelaw (dependant on final decision) for consideration by Minister. </w:t>
            </w:r>
          </w:p>
        </w:tc>
      </w:tr>
      <w:tr w:rsidR="006948CA" w14:paraId="568D269A" w14:textId="68E8A072" w:rsidTr="00402F32">
        <w:tc>
          <w:tcPr>
            <w:tcW w:w="2814" w:type="dxa"/>
          </w:tcPr>
          <w:p w14:paraId="6D4AE0FF" w14:textId="3E9C40E3" w:rsidR="00690978" w:rsidRDefault="00690978" w:rsidP="00C37E31">
            <w:r>
              <w:rPr>
                <w:b/>
              </w:rPr>
              <w:lastRenderedPageBreak/>
              <w:t xml:space="preserve">Wash Restricted Area Byelaw 2019 – </w:t>
            </w:r>
            <w:r>
              <w:t xml:space="preserve">replacement of the Wash Emergency Byelaw </w:t>
            </w:r>
          </w:p>
        </w:tc>
        <w:tc>
          <w:tcPr>
            <w:tcW w:w="3507" w:type="dxa"/>
          </w:tcPr>
          <w:p w14:paraId="020E74DA" w14:textId="77777777" w:rsidR="00690978" w:rsidRDefault="00690978" w:rsidP="00C37E31">
            <w:r>
              <w:t xml:space="preserve">Considering a replacement for the Emergency Byelaw in The Wash </w:t>
            </w:r>
          </w:p>
          <w:p w14:paraId="7EE0DBF1" w14:textId="77777777" w:rsidR="00690978" w:rsidRDefault="00690978" w:rsidP="00C37E31">
            <w:pPr>
              <w:rPr>
                <w:color w:val="4472C4" w:themeColor="accent1"/>
              </w:rPr>
            </w:pPr>
          </w:p>
          <w:p w14:paraId="7EC39FD9" w14:textId="5808ABFE" w:rsidR="00690978" w:rsidRDefault="00572E8E" w:rsidP="00C37E31">
            <w:hyperlink r:id="rId13" w:history="1">
              <w:r w:rsidR="00690978" w:rsidRPr="00B03BA7">
                <w:rPr>
                  <w:rStyle w:val="Hyperlink"/>
                </w:rPr>
                <w:t>Further Information</w:t>
              </w:r>
            </w:hyperlink>
            <w:r w:rsidR="000A6621">
              <w:rPr>
                <w:rStyle w:val="Hyperlink"/>
              </w:rPr>
              <w:t xml:space="preserve"> </w:t>
            </w:r>
            <w:r w:rsidR="000A6621">
              <w:t>on consultation</w:t>
            </w:r>
          </w:p>
          <w:p w14:paraId="6CA687B3" w14:textId="4DBDA083" w:rsidR="00690978" w:rsidRPr="0033763D" w:rsidRDefault="00690978" w:rsidP="00C37E31">
            <w:pPr>
              <w:rPr>
                <w:color w:val="4472C4" w:themeColor="accent1"/>
              </w:rPr>
            </w:pPr>
          </w:p>
        </w:tc>
        <w:tc>
          <w:tcPr>
            <w:tcW w:w="2118" w:type="dxa"/>
            <w:shd w:val="clear" w:color="auto" w:fill="FFE599" w:themeFill="accent4" w:themeFillTint="66"/>
          </w:tcPr>
          <w:p w14:paraId="4BB0E1FA" w14:textId="26A8B0D7" w:rsidR="00690978" w:rsidRDefault="00690978" w:rsidP="00C37E31">
            <w:r>
              <w:t>Consideration of formal consultation results –</w:t>
            </w:r>
            <w:r w:rsidR="006948CA">
              <w:t xml:space="preserve"> </w:t>
            </w:r>
            <w:r w:rsidRPr="006948CA">
              <w:rPr>
                <w:i/>
              </w:rPr>
              <w:t>formal consultation has ended (22/07/2019)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5BDA08B6" w14:textId="4B699AC8" w:rsidR="00690978" w:rsidDel="00F11543" w:rsidRDefault="00690978" w:rsidP="00C37E31">
            <w:r>
              <w:t xml:space="preserve">October 2019  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58DF5501" w14:textId="77777777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t xml:space="preserve">To consider feedback from formal consultation and make final decision regarding the byelaw. </w:t>
            </w:r>
          </w:p>
          <w:p w14:paraId="0ACCF450" w14:textId="77777777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t xml:space="preserve">Eastern IFCA to respond to all respondents regarding final decision. </w:t>
            </w:r>
          </w:p>
          <w:p w14:paraId="3F6022CF" w14:textId="52F67366" w:rsidR="00690978" w:rsidRDefault="00690978" w:rsidP="00690978">
            <w:pPr>
              <w:pStyle w:val="ListParagraph"/>
              <w:numPr>
                <w:ilvl w:val="0"/>
                <w:numId w:val="2"/>
              </w:numPr>
            </w:pPr>
            <w:r>
              <w:t>Eastern IFCA to submit final version of byelaw (dependant on final decision) for consideration by Minister.</w:t>
            </w:r>
          </w:p>
        </w:tc>
      </w:tr>
      <w:tr w:rsidR="006948CA" w14:paraId="21972F6D" w14:textId="66244087" w:rsidTr="00402F32">
        <w:tc>
          <w:tcPr>
            <w:tcW w:w="2814" w:type="dxa"/>
          </w:tcPr>
          <w:p w14:paraId="758ADC9B" w14:textId="7FFA6030" w:rsidR="00690978" w:rsidRDefault="00690978" w:rsidP="001E7FE2">
            <w:r>
              <w:t xml:space="preserve">Shrimp Permit Scheme development </w:t>
            </w:r>
          </w:p>
        </w:tc>
        <w:tc>
          <w:tcPr>
            <w:tcW w:w="3507" w:type="dxa"/>
          </w:tcPr>
          <w:p w14:paraId="7DDAB4FD" w14:textId="77777777" w:rsidR="00690978" w:rsidRDefault="00690978" w:rsidP="001E7FE2">
            <w:r>
              <w:t>Development of a permit scheme to limit effort within The Wash and North Norfolk Coast (mitigation to enable the shrimp fishery to operate within this marine protected area)</w:t>
            </w:r>
          </w:p>
          <w:p w14:paraId="1F185E03" w14:textId="77777777" w:rsidR="00EE5FD2" w:rsidRDefault="00EE5FD2" w:rsidP="001E7FE2"/>
          <w:p w14:paraId="6B3E0BC2" w14:textId="51D6A953" w:rsidR="00EE5FD2" w:rsidRDefault="00EE5FD2" w:rsidP="001E7FE2">
            <w:r>
              <w:t xml:space="preserve">Initial proposals presented to the Authority - </w:t>
            </w:r>
          </w:p>
        </w:tc>
        <w:tc>
          <w:tcPr>
            <w:tcW w:w="2118" w:type="dxa"/>
            <w:shd w:val="clear" w:color="auto" w:fill="FFE599" w:themeFill="accent4" w:themeFillTint="66"/>
          </w:tcPr>
          <w:p w14:paraId="46560F95" w14:textId="1C1FF395" w:rsidR="00690978" w:rsidRDefault="006948CA" w:rsidP="001E7FE2">
            <w:r>
              <w:t xml:space="preserve">Consideration of </w:t>
            </w:r>
            <w:r w:rsidR="00690978">
              <w:t xml:space="preserve">Informal consultation </w:t>
            </w:r>
            <w:r>
              <w:t xml:space="preserve">results – </w:t>
            </w:r>
            <w:r w:rsidRPr="006948CA">
              <w:rPr>
                <w:i/>
              </w:rPr>
              <w:t>Informal consultation ended August 2019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6EA09594" w14:textId="76208B64" w:rsidR="00690978" w:rsidRDefault="006948CA" w:rsidP="001E7FE2">
            <w:r>
              <w:t>October 2019</w:t>
            </w:r>
            <w:r w:rsidR="00690978">
              <w:t xml:space="preserve"> 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7217C115" w14:textId="34008E38" w:rsidR="00EE5FD2" w:rsidRDefault="00EE5FD2" w:rsidP="00EE5FD2">
            <w:pPr>
              <w:pStyle w:val="ListParagraph"/>
              <w:numPr>
                <w:ilvl w:val="0"/>
                <w:numId w:val="2"/>
              </w:numPr>
            </w:pPr>
            <w:r>
              <w:t xml:space="preserve">Revise proposals taking into account feedback at Authority meeting </w:t>
            </w:r>
          </w:p>
          <w:p w14:paraId="17CC7960" w14:textId="505BF01F" w:rsidR="00EE5FD2" w:rsidRDefault="00EE5FD2" w:rsidP="00EE5FD2">
            <w:pPr>
              <w:pStyle w:val="ListParagraph"/>
              <w:numPr>
                <w:ilvl w:val="0"/>
                <w:numId w:val="2"/>
              </w:numPr>
            </w:pPr>
            <w:r>
              <w:t>Undertake formal consultation on proposed Permit Conditions (date TBC)</w:t>
            </w:r>
          </w:p>
        </w:tc>
      </w:tr>
      <w:tr w:rsidR="006948CA" w14:paraId="1CCF3F20" w14:textId="43EE06C3" w:rsidTr="00402F32">
        <w:tc>
          <w:tcPr>
            <w:tcW w:w="2814" w:type="dxa"/>
          </w:tcPr>
          <w:p w14:paraId="5D60F28B" w14:textId="62E99DC0" w:rsidR="00690978" w:rsidRDefault="00690978" w:rsidP="001E7FE2">
            <w:r>
              <w:t xml:space="preserve">Cockle Fishery Management Plan </w:t>
            </w:r>
          </w:p>
        </w:tc>
        <w:tc>
          <w:tcPr>
            <w:tcW w:w="3507" w:type="dxa"/>
          </w:tcPr>
          <w:p w14:paraId="5E1903D4" w14:textId="77777777" w:rsidR="00690978" w:rsidRDefault="00690978" w:rsidP="001E7FE2">
            <w:r>
              <w:t xml:space="preserve">Development of cockle fisheries management plan for Wash Fishery Order 1992 fishery </w:t>
            </w:r>
          </w:p>
          <w:p w14:paraId="340F9D63" w14:textId="77777777" w:rsidR="00690978" w:rsidRDefault="00690978" w:rsidP="001E7FE2"/>
          <w:p w14:paraId="1F8C264D" w14:textId="5A075693" w:rsidR="00690978" w:rsidRDefault="00572E8E" w:rsidP="001E7FE2">
            <w:hyperlink r:id="rId14" w:history="1">
              <w:r w:rsidR="00690978" w:rsidRPr="00513887">
                <w:rPr>
                  <w:rStyle w:val="Hyperlink"/>
                </w:rPr>
                <w:t>Further information</w:t>
              </w:r>
            </w:hyperlink>
            <w:r w:rsidR="00690978">
              <w:t xml:space="preserve"> </w:t>
            </w:r>
            <w:r w:rsidR="00513887">
              <w:t xml:space="preserve">on consultation </w:t>
            </w:r>
          </w:p>
          <w:p w14:paraId="6B45B99A" w14:textId="203B572D" w:rsidR="00690978" w:rsidRDefault="00690978" w:rsidP="001E7FE2"/>
        </w:tc>
        <w:tc>
          <w:tcPr>
            <w:tcW w:w="2118" w:type="dxa"/>
            <w:shd w:val="clear" w:color="auto" w:fill="FFE599" w:themeFill="accent4" w:themeFillTint="66"/>
          </w:tcPr>
          <w:p w14:paraId="63962056" w14:textId="55BBAFF0" w:rsidR="00690978" w:rsidRDefault="00690978" w:rsidP="001E7FE2">
            <w:r>
              <w:lastRenderedPageBreak/>
              <w:t xml:space="preserve">Consultation </w:t>
            </w:r>
            <w:r w:rsidR="00EE5FD2">
              <w:t>finished (02/08/2019)</w:t>
            </w:r>
          </w:p>
          <w:p w14:paraId="1C596980" w14:textId="2D3108C7" w:rsidR="00EE5FD2" w:rsidRDefault="00EE5FD2" w:rsidP="001E7FE2"/>
          <w:p w14:paraId="3476ECD9" w14:textId="77777777" w:rsidR="00EE5FD2" w:rsidRDefault="00EE5FD2" w:rsidP="00EE5FD2">
            <w:r>
              <w:lastRenderedPageBreak/>
              <w:t>Authority consideration of consultation feedback considered 11/09/2019</w:t>
            </w:r>
          </w:p>
          <w:p w14:paraId="491F9F6C" w14:textId="77777777" w:rsidR="00EE5FD2" w:rsidRDefault="00EE5FD2" w:rsidP="00EE5FD2"/>
          <w:p w14:paraId="6CEE337E" w14:textId="0CC587EC" w:rsidR="00EE5FD2" w:rsidRDefault="00EE5FD2" w:rsidP="00EE5FD2">
            <w:r>
              <w:t>Inform stakeholders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093A4E01" w14:textId="13459B7A" w:rsidR="00690978" w:rsidRDefault="00EE5FD2" w:rsidP="001E7FE2">
            <w:r>
              <w:lastRenderedPageBreak/>
              <w:t>n/a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4378813D" w14:textId="77777777" w:rsidR="00EE5FD2" w:rsidRDefault="00EE5FD2" w:rsidP="00513887">
            <w:pPr>
              <w:pStyle w:val="ListParagraph"/>
              <w:numPr>
                <w:ilvl w:val="0"/>
                <w:numId w:val="2"/>
              </w:numPr>
            </w:pPr>
            <w:r>
              <w:t xml:space="preserve">Following the agreement of The Authority (11/09/2019), Officers to update Wash Fisher Order Licence Holders of adoption of </w:t>
            </w:r>
            <w:r>
              <w:lastRenderedPageBreak/>
              <w:t xml:space="preserve">new Cockle Fisheries Management Plan </w:t>
            </w:r>
          </w:p>
          <w:p w14:paraId="1D863DE9" w14:textId="486CC5BF" w:rsidR="00513887" w:rsidRDefault="00513887" w:rsidP="00513887">
            <w:pPr>
              <w:pStyle w:val="ListParagraph"/>
              <w:numPr>
                <w:ilvl w:val="0"/>
                <w:numId w:val="2"/>
              </w:numPr>
            </w:pPr>
            <w:r>
              <w:t xml:space="preserve">Publish newly adopted plan on website  </w:t>
            </w:r>
          </w:p>
        </w:tc>
      </w:tr>
      <w:tr w:rsidR="006948CA" w14:paraId="6A695DE7" w14:textId="77A1F28D" w:rsidTr="00402F32">
        <w:tc>
          <w:tcPr>
            <w:tcW w:w="2814" w:type="dxa"/>
          </w:tcPr>
          <w:p w14:paraId="1CDCD98F" w14:textId="796EC6EE" w:rsidR="00690978" w:rsidRDefault="00690978" w:rsidP="001E7FE2">
            <w:r>
              <w:lastRenderedPageBreak/>
              <w:t>Humber eelgrass closures – review</w:t>
            </w:r>
          </w:p>
        </w:tc>
        <w:tc>
          <w:tcPr>
            <w:tcW w:w="3507" w:type="dxa"/>
          </w:tcPr>
          <w:p w14:paraId="5F930602" w14:textId="29D2869B" w:rsidR="00690978" w:rsidRDefault="00690978" w:rsidP="001E7FE2">
            <w:r>
              <w:t>Review of the closure to bottom-towed gear and hand-work fishing activity on the south bank of the Humber Estuary</w:t>
            </w:r>
          </w:p>
        </w:tc>
        <w:tc>
          <w:tcPr>
            <w:tcW w:w="2118" w:type="dxa"/>
            <w:shd w:val="clear" w:color="auto" w:fill="FFE599" w:themeFill="accent4" w:themeFillTint="66"/>
          </w:tcPr>
          <w:p w14:paraId="265A6A5F" w14:textId="139FC2A5" w:rsidR="00690978" w:rsidRDefault="00690978" w:rsidP="001E7FE2">
            <w:r>
              <w:t>Review in progress / consultation pending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75AF8AB6" w14:textId="0F75FC72" w:rsidR="00690978" w:rsidRDefault="00690978" w:rsidP="001E7FE2">
            <w:r>
              <w:t>n/a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67F2FECF" w14:textId="2AD314BC" w:rsidR="00690978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>Review closures in place to determine if amendments are required</w:t>
            </w:r>
          </w:p>
          <w:p w14:paraId="1AE2F387" w14:textId="2C69AE7F" w:rsidR="00692F2B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 xml:space="preserve">Informal engagement with stakeholders as required  </w:t>
            </w:r>
          </w:p>
        </w:tc>
      </w:tr>
      <w:tr w:rsidR="006948CA" w14:paraId="3C37CE81" w14:textId="0FA52F87" w:rsidTr="00402F32">
        <w:tc>
          <w:tcPr>
            <w:tcW w:w="2814" w:type="dxa"/>
          </w:tcPr>
          <w:p w14:paraId="33C36CED" w14:textId="3C6259D6" w:rsidR="00690978" w:rsidRDefault="00690978" w:rsidP="001E7FE2">
            <w:r>
              <w:t xml:space="preserve">Wash </w:t>
            </w:r>
            <w:r w:rsidRPr="00483D5E">
              <w:rPr>
                <w:i/>
              </w:rPr>
              <w:t>Sabellaria</w:t>
            </w:r>
            <w:r>
              <w:t xml:space="preserve"> reef closures – review</w:t>
            </w:r>
          </w:p>
        </w:tc>
        <w:tc>
          <w:tcPr>
            <w:tcW w:w="3507" w:type="dxa"/>
          </w:tcPr>
          <w:p w14:paraId="6B3682C8" w14:textId="241D37F7" w:rsidR="00690978" w:rsidRDefault="00690978" w:rsidP="001E7FE2">
            <w:r>
              <w:t xml:space="preserve">Review of the closures in The Wash related to </w:t>
            </w:r>
            <w:r w:rsidRPr="00483D5E">
              <w:rPr>
                <w:i/>
              </w:rPr>
              <w:t>Sabellaria</w:t>
            </w:r>
            <w:r>
              <w:t xml:space="preserve"> reef taking into account new evidence and conservation advice.</w:t>
            </w:r>
          </w:p>
        </w:tc>
        <w:tc>
          <w:tcPr>
            <w:tcW w:w="2118" w:type="dxa"/>
            <w:shd w:val="clear" w:color="auto" w:fill="FFE599" w:themeFill="accent4" w:themeFillTint="66"/>
          </w:tcPr>
          <w:p w14:paraId="254425D3" w14:textId="1D61D2FF" w:rsidR="00690978" w:rsidRDefault="00690978" w:rsidP="001E7FE2">
            <w:r>
              <w:t>Review in progress / consultation pending</w:t>
            </w:r>
          </w:p>
        </w:tc>
        <w:tc>
          <w:tcPr>
            <w:tcW w:w="1479" w:type="dxa"/>
            <w:shd w:val="clear" w:color="auto" w:fill="FFE599" w:themeFill="accent4" w:themeFillTint="66"/>
          </w:tcPr>
          <w:p w14:paraId="426BCA2C" w14:textId="5803B16F" w:rsidR="00690978" w:rsidRDefault="00690978" w:rsidP="001E7FE2">
            <w:r>
              <w:t>n/a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40E4B385" w14:textId="77777777" w:rsidR="00692F2B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>Review closures in place to determine if amendments are required</w:t>
            </w:r>
          </w:p>
          <w:p w14:paraId="4F1D0B55" w14:textId="485980E5" w:rsidR="00690978" w:rsidRDefault="00692F2B" w:rsidP="00692F2B">
            <w:pPr>
              <w:pStyle w:val="ListParagraph"/>
              <w:numPr>
                <w:ilvl w:val="0"/>
                <w:numId w:val="2"/>
              </w:numPr>
            </w:pPr>
            <w:r>
              <w:t xml:space="preserve">Informal engagement with stakeholders as required  </w:t>
            </w:r>
          </w:p>
        </w:tc>
      </w:tr>
    </w:tbl>
    <w:p w14:paraId="795E61EA" w14:textId="77777777" w:rsidR="00AC2A8C" w:rsidRDefault="00AC2A8C"/>
    <w:p w14:paraId="34DF34A9" w14:textId="77777777" w:rsidR="00AC2A8C" w:rsidRDefault="00AC2A8C"/>
    <w:p w14:paraId="71F40B89" w14:textId="77777777" w:rsidR="00AC2A8C" w:rsidRPr="00AC2A8C" w:rsidRDefault="00AC2A8C"/>
    <w:sectPr w:rsidR="00AC2A8C" w:rsidRPr="00AC2A8C" w:rsidSect="006909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ke Godwin" w:date="2019-09-13T10:00:00Z" w:initials="LG">
    <w:p w14:paraId="310F07C3" w14:textId="560F44DD" w:rsidR="00692F2B" w:rsidRDefault="00692F2B">
      <w:pPr>
        <w:pStyle w:val="CommentText"/>
      </w:pPr>
      <w:r>
        <w:rPr>
          <w:rStyle w:val="CommentReference"/>
        </w:rPr>
        <w:annotationRef/>
      </w:r>
      <w:r>
        <w:t xml:space="preserve">Please add link to consultation website article when up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0F07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F07C3" w16cid:durableId="2125E7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B27"/>
    <w:multiLevelType w:val="hybridMultilevel"/>
    <w:tmpl w:val="56961BD8"/>
    <w:lvl w:ilvl="0" w:tplc="367ED9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762"/>
    <w:multiLevelType w:val="hybridMultilevel"/>
    <w:tmpl w:val="0674C874"/>
    <w:lvl w:ilvl="0" w:tplc="A588D6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 Godwin">
    <w15:presenceInfo w15:providerId="AD" w15:userId="S::lukegodwin@eastern-ifca.gov.uk::67a44425-1d8a-4bd7-b187-804a046bf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C"/>
    <w:rsid w:val="00074B02"/>
    <w:rsid w:val="000904FA"/>
    <w:rsid w:val="000A6621"/>
    <w:rsid w:val="000B7DF5"/>
    <w:rsid w:val="000E7BDD"/>
    <w:rsid w:val="00141C8D"/>
    <w:rsid w:val="001A2975"/>
    <w:rsid w:val="001B20BC"/>
    <w:rsid w:val="001E0BD3"/>
    <w:rsid w:val="001E7FE2"/>
    <w:rsid w:val="0033763D"/>
    <w:rsid w:val="00402F32"/>
    <w:rsid w:val="0041411F"/>
    <w:rsid w:val="00461DEE"/>
    <w:rsid w:val="00483D5E"/>
    <w:rsid w:val="004A5263"/>
    <w:rsid w:val="004E34CA"/>
    <w:rsid w:val="005121E6"/>
    <w:rsid w:val="00513887"/>
    <w:rsid w:val="00572E8E"/>
    <w:rsid w:val="005A156E"/>
    <w:rsid w:val="0062776C"/>
    <w:rsid w:val="00661BF2"/>
    <w:rsid w:val="00690978"/>
    <w:rsid w:val="00692F2B"/>
    <w:rsid w:val="006948CA"/>
    <w:rsid w:val="0077132B"/>
    <w:rsid w:val="007B7175"/>
    <w:rsid w:val="008A31F9"/>
    <w:rsid w:val="008B4117"/>
    <w:rsid w:val="009630C6"/>
    <w:rsid w:val="00A22F55"/>
    <w:rsid w:val="00A658E8"/>
    <w:rsid w:val="00AC2A8C"/>
    <w:rsid w:val="00B03BA7"/>
    <w:rsid w:val="00B5482B"/>
    <w:rsid w:val="00B6421A"/>
    <w:rsid w:val="00BF7661"/>
    <w:rsid w:val="00C03E18"/>
    <w:rsid w:val="00C37E31"/>
    <w:rsid w:val="00C7777F"/>
    <w:rsid w:val="00CD6CE1"/>
    <w:rsid w:val="00CF4A6B"/>
    <w:rsid w:val="00D0167D"/>
    <w:rsid w:val="00DD7441"/>
    <w:rsid w:val="00E03D56"/>
    <w:rsid w:val="00ED011D"/>
    <w:rsid w:val="00EE5FD2"/>
    <w:rsid w:val="00F03A38"/>
    <w:rsid w:val="00F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D6A5"/>
  <w15:chartTrackingRefBased/>
  <w15:docId w15:val="{D10C8E4E-82E4-43E6-8298-4D5DB7D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eastern-ifca.gov.uk/formal-consultation-eastern-ifca-byelaws-2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eastern-ifca.gov.uk/formal-consultation-eastern-ifca-byelaws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eastern-ifca.gov.uk/wp-content/uploads/2019/09/2019_09_04_Closed_Area_Byelaw_IDRBNR_towed_gear_proposal_summary_Website_version.pdf" TargetMode="External"/><Relationship Id="rId11" Type="http://schemas.openxmlformats.org/officeDocument/2006/relationships/hyperlink" Target="https://www.eastern-ifca.gov.uk/minimum-sizes-byelaw-2019-informal-consultation/" TargetMode="External"/><Relationship Id="rId5" Type="http://schemas.openxmlformats.org/officeDocument/2006/relationships/hyperlink" Target="https://www.eastern-ifca.gov.uk/potting-fisheries-informal-consult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astern-ifca.gov.uk/fish-mollusc-and-crustacea-minimum-size-emergency-byelaw-2019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eastern-ifca.gov.uk/wash-fishery-order-1992-wfo-cockle-fisheries-management-plan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Godwin</dc:creator>
  <cp:keywords/>
  <dc:description/>
  <cp:lastModifiedBy>Luke Godwin</cp:lastModifiedBy>
  <cp:revision>8</cp:revision>
  <cp:lastPrinted>2019-09-13T10:30:00Z</cp:lastPrinted>
  <dcterms:created xsi:type="dcterms:W3CDTF">2019-09-12T09:56:00Z</dcterms:created>
  <dcterms:modified xsi:type="dcterms:W3CDTF">2019-10-10T07:50:00Z</dcterms:modified>
</cp:coreProperties>
</file>